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both"/>
        <w:rPr>
          <w:rFonts w:hint="default" w:ascii="Times New Roman" w:hAnsi="Times New Roman" w:eastAsia="方正黑体_GBK" w:cs="Times New Roman"/>
          <w:color w:val="000000"/>
          <w:sz w:val="36"/>
          <w:szCs w:val="36"/>
          <w:u w:val="none"/>
          <w:lang w:val="en-US" w:eastAsia="zh-CN"/>
        </w:rPr>
      </w:pPr>
      <w:r>
        <w:rPr>
          <w:rFonts w:hint="default" w:ascii="Times New Roman" w:hAnsi="Times New Roman" w:eastAsia="方正黑体_GBK" w:cs="Times New Roman"/>
          <w:color w:val="000000"/>
          <w:sz w:val="36"/>
          <w:szCs w:val="36"/>
          <w:u w:val="none"/>
          <w:lang w:eastAsia="zh-CN"/>
        </w:rPr>
        <w:t>附件</w:t>
      </w:r>
      <w:r>
        <w:rPr>
          <w:rFonts w:hint="default" w:ascii="Times New Roman" w:hAnsi="Times New Roman" w:eastAsia="方正黑体_GBK" w:cs="Times New Roman"/>
          <w:color w:val="000000"/>
          <w:sz w:val="36"/>
          <w:szCs w:val="36"/>
          <w:u w:val="none"/>
          <w:lang w:val="en-US" w:eastAsia="zh-CN"/>
        </w:rPr>
        <w:t>1</w:t>
      </w:r>
    </w:p>
    <w:p>
      <w:pPr>
        <w:spacing w:line="560" w:lineRule="exact"/>
        <w:ind w:firstLine="800"/>
        <w:jc w:val="center"/>
        <w:rPr>
          <w:rFonts w:ascii="Times New Roman" w:hAnsi="Times New Roman" w:eastAsia="方正小标宋_GBK"/>
          <w:color w:val="000000"/>
          <w:sz w:val="40"/>
          <w:szCs w:val="40"/>
          <w:u w:val="none"/>
        </w:rPr>
      </w:pPr>
    </w:p>
    <w:p>
      <w:pPr>
        <w:spacing w:line="640" w:lineRule="exact"/>
        <w:ind w:firstLine="0" w:firstLineChars="0"/>
        <w:jc w:val="center"/>
        <w:rPr>
          <w:rFonts w:ascii="Times New Roman" w:hAnsi="Times New Roman" w:eastAsia="方正小标宋_GBK"/>
          <w:color w:val="000000"/>
          <w:sz w:val="48"/>
          <w:szCs w:val="48"/>
          <w:u w:val="none"/>
        </w:rPr>
      </w:pPr>
      <w:r>
        <w:rPr>
          <w:rFonts w:ascii="Times New Roman" w:hAnsi="Times New Roman" w:eastAsia="方正小标宋_GBK"/>
          <w:color w:val="000000"/>
          <w:sz w:val="48"/>
          <w:szCs w:val="48"/>
          <w:u w:val="none"/>
        </w:rPr>
        <w:t>重庆市</w:t>
      </w:r>
      <w:r>
        <w:rPr>
          <w:rFonts w:hint="eastAsia" w:ascii="方正小标宋_GBK" w:hAnsi="方正小标宋_GBK" w:eastAsia="方正小标宋_GBK" w:cs="方正小标宋_GBK"/>
          <w:color w:val="000000"/>
          <w:sz w:val="48"/>
          <w:szCs w:val="48"/>
          <w:u w:val="none"/>
        </w:rPr>
        <w:t>“十五五”</w:t>
      </w:r>
      <w:r>
        <w:rPr>
          <w:rFonts w:ascii="Times New Roman" w:hAnsi="Times New Roman" w:eastAsia="方正小标宋_GBK"/>
          <w:color w:val="000000"/>
          <w:sz w:val="48"/>
          <w:szCs w:val="48"/>
          <w:u w:val="none"/>
        </w:rPr>
        <w:t>数字重庆建设规划</w:t>
      </w:r>
      <w:bookmarkStart w:id="0" w:name="_Toc270090885"/>
      <w:bookmarkStart w:id="1" w:name="_Toc171553941"/>
      <w:bookmarkStart w:id="2" w:name="_Toc667588613"/>
      <w:bookmarkStart w:id="3" w:name="_Toc635101024"/>
    </w:p>
    <w:p>
      <w:pPr>
        <w:spacing w:line="640" w:lineRule="exact"/>
        <w:ind w:firstLine="0" w:firstLineChars="0"/>
        <w:jc w:val="center"/>
        <w:rPr>
          <w:rFonts w:ascii="Times New Roman" w:hAnsi="Times New Roman" w:eastAsia="方正小标宋_GBK"/>
          <w:color w:val="000000"/>
          <w:sz w:val="48"/>
          <w:szCs w:val="48"/>
          <w:u w:val="none"/>
        </w:rPr>
      </w:pPr>
      <w:r>
        <w:rPr>
          <w:rFonts w:ascii="Times New Roman" w:hAnsi="Times New Roman" w:eastAsia="方正小标宋_GBK"/>
          <w:color w:val="000000"/>
          <w:sz w:val="48"/>
          <w:szCs w:val="48"/>
          <w:u w:val="none"/>
        </w:rPr>
        <w:t>（2026—2030年）</w:t>
      </w:r>
      <w:bookmarkEnd w:id="0"/>
      <w:bookmarkEnd w:id="1"/>
    </w:p>
    <w:p>
      <w:pPr>
        <w:spacing w:line="560" w:lineRule="exact"/>
        <w:jc w:val="center"/>
        <w:rPr>
          <w:rFonts w:ascii="Times New Roman" w:hAnsi="Times New Roman"/>
          <w:color w:val="000000"/>
          <w:szCs w:val="32"/>
          <w:u w:val="none"/>
        </w:rPr>
      </w:pPr>
    </w:p>
    <w:p>
      <w:pPr>
        <w:spacing w:line="560" w:lineRule="exact"/>
        <w:ind w:firstLine="0" w:firstLineChars="0"/>
        <w:jc w:val="center"/>
        <w:rPr>
          <w:rFonts w:ascii="Times New Roman" w:hAnsi="Times New Roman"/>
          <w:color w:val="000000"/>
          <w:szCs w:val="32"/>
          <w:u w:val="none"/>
        </w:rPr>
      </w:pPr>
      <w:r>
        <w:rPr>
          <w:rFonts w:ascii="Times New Roman" w:hAnsi="Times New Roman"/>
          <w:color w:val="000000"/>
          <w:szCs w:val="32"/>
          <w:u w:val="none"/>
        </w:rPr>
        <w:t>（</w:t>
      </w:r>
      <w:r>
        <w:rPr>
          <w:rFonts w:hint="eastAsia" w:ascii="Times New Roman" w:hAnsi="Times New Roman"/>
          <w:color w:val="000000"/>
          <w:szCs w:val="32"/>
          <w:u w:val="none"/>
          <w:lang w:eastAsia="zh-CN"/>
        </w:rPr>
        <w:t>征求意见</w:t>
      </w:r>
      <w:r>
        <w:rPr>
          <w:rFonts w:ascii="Times New Roman" w:hAnsi="Times New Roman"/>
          <w:color w:val="000000"/>
          <w:szCs w:val="32"/>
          <w:u w:val="none"/>
        </w:rPr>
        <w:t>稿）</w:t>
      </w:r>
    </w:p>
    <w:bookmarkEnd w:id="2"/>
    <w:bookmarkEnd w:id="3"/>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720"/>
        <w:rPr>
          <w:rFonts w:ascii="Times New Roman" w:hAnsi="Times New Roman"/>
          <w:color w:val="000000"/>
          <w:sz w:val="36"/>
          <w:szCs w:val="36"/>
          <w:u w:val="none"/>
        </w:rPr>
      </w:pPr>
    </w:p>
    <w:p>
      <w:pPr>
        <w:suppressAutoHyphens/>
        <w:topLinePunct/>
        <w:adjustRightInd w:val="0"/>
        <w:snapToGrid w:val="0"/>
        <w:spacing w:line="560" w:lineRule="exact"/>
        <w:ind w:firstLine="0" w:firstLineChars="0"/>
        <w:jc w:val="center"/>
        <w:rPr>
          <w:rFonts w:ascii="Times New Roman" w:hAnsi="Times New Roman"/>
          <w:color w:val="000000"/>
          <w:sz w:val="36"/>
          <w:szCs w:val="36"/>
          <w:u w:val="none"/>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720" w:footer="720" w:gutter="0"/>
          <w:pgNumType w:start="1"/>
          <w:cols w:space="720" w:num="1"/>
          <w:titlePg/>
          <w:docGrid w:type="lines" w:linePitch="435" w:charSpace="0"/>
        </w:sectPr>
      </w:pPr>
      <w:r>
        <w:rPr>
          <w:rFonts w:ascii="Times New Roman" w:hAnsi="Times New Roman"/>
          <w:color w:val="000000"/>
          <w:sz w:val="36"/>
          <w:szCs w:val="36"/>
          <w:u w:val="none"/>
        </w:rPr>
        <w:t>2026年5月</w:t>
      </w:r>
      <w:r>
        <w:rPr>
          <w:rFonts w:hint="eastAsia" w:ascii="Times New Roman" w:hAnsi="Times New Roman"/>
          <w:color w:val="000000"/>
          <w:sz w:val="36"/>
          <w:szCs w:val="36"/>
          <w:u w:val="none"/>
        </w:rPr>
        <w:t>14日</w:t>
      </w:r>
    </w:p>
    <w:p>
      <w:pPr>
        <w:pStyle w:val="9"/>
        <w:tabs>
          <w:tab w:val="left" w:pos="2281"/>
          <w:tab w:val="center" w:pos="4394"/>
        </w:tabs>
        <w:spacing w:before="240"/>
        <w:rPr>
          <w:rFonts w:ascii="Times New Roman" w:hAnsi="Times New Roman" w:eastAsia="方正黑体_GBK"/>
          <w:color w:val="auto"/>
          <w:kern w:val="2"/>
          <w:sz w:val="36"/>
          <w:szCs w:val="36"/>
          <w:u w:val="none"/>
          <w:lang w:val="zh-CN"/>
        </w:rPr>
      </w:pPr>
      <w:bookmarkStart w:id="4" w:name="_Toc223610162"/>
      <w:bookmarkStart w:id="5" w:name="_Toc227252595"/>
      <w:bookmarkStart w:id="6" w:name="_Toc220660272"/>
      <w:bookmarkStart w:id="7" w:name="_Toc1323973503"/>
      <w:r>
        <w:rPr>
          <w:rFonts w:ascii="Times New Roman" w:hAnsi="Times New Roman" w:eastAsia="方正黑体_GBK"/>
          <w:color w:val="auto"/>
          <w:kern w:val="2"/>
          <w:sz w:val="36"/>
          <w:szCs w:val="36"/>
          <w:u w:val="none"/>
          <w:lang w:val="zh-CN"/>
        </w:rPr>
        <w:tab/>
      </w:r>
      <w:r>
        <w:rPr>
          <w:rFonts w:ascii="Times New Roman" w:hAnsi="Times New Roman" w:eastAsia="方正黑体_GBK"/>
          <w:color w:val="auto"/>
          <w:kern w:val="2"/>
          <w:sz w:val="36"/>
          <w:szCs w:val="36"/>
          <w:u w:val="none"/>
          <w:lang w:val="zh-CN"/>
        </w:rPr>
        <w:tab/>
      </w:r>
      <w:r>
        <w:rPr>
          <w:rFonts w:ascii="Times New Roman" w:hAnsi="Times New Roman" w:eastAsia="方正黑体_GBK"/>
          <w:color w:val="auto"/>
          <w:kern w:val="2"/>
          <w:sz w:val="36"/>
          <w:szCs w:val="36"/>
          <w:u w:val="none"/>
          <w:lang w:val="zh-CN"/>
        </w:rPr>
        <w:t>目</w:t>
      </w:r>
      <w:r>
        <w:rPr>
          <w:rFonts w:ascii="Times New Roman" w:hAnsi="Times New Roman" w:eastAsia="方正黑体_GBK"/>
          <w:color w:val="auto"/>
          <w:kern w:val="2"/>
          <w:sz w:val="36"/>
          <w:szCs w:val="36"/>
          <w:u w:val="none"/>
        </w:rPr>
        <w:t xml:space="preserve">  </w:t>
      </w:r>
      <w:r>
        <w:rPr>
          <w:rFonts w:ascii="Times New Roman" w:hAnsi="Times New Roman" w:eastAsia="方正黑体_GBK"/>
          <w:color w:val="auto"/>
          <w:kern w:val="2"/>
          <w:sz w:val="36"/>
          <w:szCs w:val="36"/>
          <w:u w:val="none"/>
          <w:lang w:val="zh-CN"/>
        </w:rPr>
        <w:t>录</w:t>
      </w:r>
    </w:p>
    <w:p>
      <w:pPr>
        <w:pStyle w:val="4"/>
        <w:tabs>
          <w:tab w:val="right" w:leader="dot" w:pos="8779"/>
        </w:tabs>
        <w:ind w:firstLine="560"/>
        <w:rPr>
          <w:u w:val="none"/>
        </w:rPr>
      </w:pPr>
      <w:r>
        <w:rPr>
          <w:rFonts w:ascii="Times New Roman" w:hAnsi="Times New Roman"/>
          <w:sz w:val="28"/>
          <w:szCs w:val="22"/>
          <w:u w:val="none"/>
        </w:rPr>
        <w:fldChar w:fldCharType="begin"/>
      </w:r>
      <w:r>
        <w:rPr>
          <w:rFonts w:ascii="Times New Roman" w:hAnsi="Times New Roman"/>
          <w:sz w:val="28"/>
          <w:szCs w:val="22"/>
          <w:u w:val="none"/>
        </w:rPr>
        <w:instrText xml:space="preserve"> TOC \o "1-2" \h \z \u </w:instrText>
      </w:r>
      <w:r>
        <w:rPr>
          <w:rFonts w:ascii="Times New Roman" w:hAnsi="Times New Roman"/>
          <w:sz w:val="28"/>
          <w:szCs w:val="22"/>
          <w:u w:val="none"/>
        </w:rPr>
        <w:fldChar w:fldCharType="separate"/>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"_Toc229651109"</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一、发展基础</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_Toc229651109 \h </w:instrText>
      </w:r>
      <w:r>
        <w:rPr>
          <w:rFonts w:hint="default" w:ascii="Times New Roman" w:hAnsi="Times New Roman" w:cs="Times New Roman"/>
          <w:u w:val="none"/>
        </w:rPr>
        <w:fldChar w:fldCharType="separate"/>
      </w:r>
      <w:r>
        <w:rPr>
          <w:rFonts w:hint="default" w:ascii="Times New Roman" w:hAnsi="Times New Roman" w:cs="Times New Roman"/>
          <w:u w:val="none"/>
        </w:rPr>
        <w:t>1</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"_Toc229651110"</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（一）显著成效</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_Toc229651110 \h </w:instrText>
      </w:r>
      <w:r>
        <w:rPr>
          <w:rFonts w:hint="default" w:ascii="Times New Roman" w:hAnsi="Times New Roman" w:cs="Times New Roman"/>
          <w:u w:val="none"/>
        </w:rPr>
        <w:fldChar w:fldCharType="separate"/>
      </w:r>
      <w:r>
        <w:rPr>
          <w:rFonts w:hint="default" w:ascii="Times New Roman" w:hAnsi="Times New Roman" w:cs="Times New Roman"/>
          <w:u w:val="none"/>
        </w:rPr>
        <w:t>1</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"_Toc229651111"</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（二）面临形势</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_Toc229651111 \h </w:instrText>
      </w:r>
      <w:r>
        <w:rPr>
          <w:rFonts w:hint="default" w:ascii="Times New Roman" w:hAnsi="Times New Roman" w:cs="Times New Roman"/>
          <w:u w:val="none"/>
        </w:rPr>
        <w:fldChar w:fldCharType="separate"/>
      </w:r>
      <w:r>
        <w:rPr>
          <w:rFonts w:hint="default" w:ascii="Times New Roman" w:hAnsi="Times New Roman" w:cs="Times New Roman"/>
          <w:u w:val="none"/>
        </w:rPr>
        <w:t>4</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"_Toc229651112"</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二、总体要求</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_Toc229651112 \h </w:instrText>
      </w:r>
      <w:r>
        <w:rPr>
          <w:rFonts w:hint="default" w:ascii="Times New Roman" w:hAnsi="Times New Roman" w:cs="Times New Roman"/>
          <w:u w:val="none"/>
        </w:rPr>
        <w:fldChar w:fldCharType="separate"/>
      </w:r>
      <w:r>
        <w:rPr>
          <w:rFonts w:hint="default" w:ascii="Times New Roman" w:hAnsi="Times New Roman" w:cs="Times New Roman"/>
          <w:u w:val="none"/>
        </w:rPr>
        <w:t>5</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"_Toc229651113"</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（一）指导思想</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_Toc229651113 \h </w:instrText>
      </w:r>
      <w:r>
        <w:rPr>
          <w:rFonts w:hint="default" w:ascii="Times New Roman" w:hAnsi="Times New Roman" w:cs="Times New Roman"/>
          <w:u w:val="none"/>
        </w:rPr>
        <w:fldChar w:fldCharType="separate"/>
      </w:r>
      <w:r>
        <w:rPr>
          <w:rFonts w:hint="default" w:ascii="Times New Roman" w:hAnsi="Times New Roman" w:cs="Times New Roman"/>
          <w:u w:val="none"/>
        </w:rPr>
        <w:t>5</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"_Toc229651114"</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（二）基本原则</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_Toc229651114 \h </w:instrText>
      </w:r>
      <w:r>
        <w:rPr>
          <w:rFonts w:hint="default" w:ascii="Times New Roman" w:hAnsi="Times New Roman" w:cs="Times New Roman"/>
          <w:u w:val="none"/>
        </w:rPr>
        <w:fldChar w:fldCharType="separate"/>
      </w:r>
      <w:r>
        <w:rPr>
          <w:rFonts w:hint="default" w:ascii="Times New Roman" w:hAnsi="Times New Roman" w:cs="Times New Roman"/>
          <w:u w:val="none"/>
        </w:rPr>
        <w:t>6</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"_Toc229651115"</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（三）主要目标</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_Toc229651115 \h </w:instrText>
      </w:r>
      <w:r>
        <w:rPr>
          <w:rFonts w:hint="default" w:ascii="Times New Roman" w:hAnsi="Times New Roman" w:cs="Times New Roman"/>
          <w:u w:val="none"/>
        </w:rPr>
        <w:fldChar w:fldCharType="separate"/>
      </w:r>
      <w:r>
        <w:rPr>
          <w:rFonts w:hint="default" w:ascii="Times New Roman" w:hAnsi="Times New Roman" w:cs="Times New Roman"/>
          <w:u w:val="none"/>
        </w:rPr>
        <w:t>7</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"_Toc229651116"</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三、加快探索数智赋能超大城市治理新范式</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_Toc229651116 \h </w:instrText>
      </w:r>
      <w:r>
        <w:rPr>
          <w:rFonts w:hint="default" w:ascii="Times New Roman" w:hAnsi="Times New Roman" w:cs="Times New Roman"/>
          <w:u w:val="none"/>
        </w:rPr>
        <w:fldChar w:fldCharType="separate"/>
      </w:r>
      <w:r>
        <w:rPr>
          <w:rFonts w:hint="default" w:ascii="Times New Roman" w:hAnsi="Times New Roman" w:cs="Times New Roman"/>
          <w:u w:val="none"/>
        </w:rPr>
        <w:t>9</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"_Toc229651117"</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（一）迭代全市统一数智底座</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_Toc229651117 \h </w:instrText>
      </w:r>
      <w:r>
        <w:rPr>
          <w:rFonts w:hint="default" w:ascii="Times New Roman" w:hAnsi="Times New Roman" w:cs="Times New Roman"/>
          <w:u w:val="none"/>
        </w:rPr>
        <w:fldChar w:fldCharType="separate"/>
      </w:r>
      <w:r>
        <w:rPr>
          <w:rFonts w:hint="default" w:ascii="Times New Roman" w:hAnsi="Times New Roman" w:cs="Times New Roman"/>
          <w:u w:val="none"/>
        </w:rPr>
        <w:t>9</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"_Toc229651118"</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（二）建设高能级数字化城市运行和治理中心</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_Toc229651118 \h </w:instrText>
      </w:r>
      <w:r>
        <w:rPr>
          <w:rFonts w:hint="default" w:ascii="Times New Roman" w:hAnsi="Times New Roman" w:cs="Times New Roman"/>
          <w:u w:val="none"/>
        </w:rPr>
        <w:fldChar w:fldCharType="separate"/>
      </w:r>
      <w:r>
        <w:rPr>
          <w:rFonts w:hint="default" w:ascii="Times New Roman" w:hAnsi="Times New Roman" w:cs="Times New Roman"/>
          <w:u w:val="none"/>
        </w:rPr>
        <w:t>15</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"_Toc229651119"</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（三）提质六大应用系统建设</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_Toc229651119 \h </w:instrText>
      </w:r>
      <w:r>
        <w:rPr>
          <w:rFonts w:hint="default" w:ascii="Times New Roman" w:hAnsi="Times New Roman" w:cs="Times New Roman"/>
          <w:u w:val="none"/>
        </w:rPr>
        <w:fldChar w:fldCharType="separate"/>
      </w:r>
      <w:r>
        <w:rPr>
          <w:rFonts w:hint="default" w:ascii="Times New Roman" w:hAnsi="Times New Roman" w:cs="Times New Roman"/>
          <w:u w:val="none"/>
        </w:rPr>
        <w:t>23</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"_Toc229651120"</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（四）优化基层智治体系</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_Toc229651120 \h </w:instrText>
      </w:r>
      <w:r>
        <w:rPr>
          <w:rFonts w:hint="default" w:ascii="Times New Roman" w:hAnsi="Times New Roman" w:cs="Times New Roman"/>
          <w:u w:val="none"/>
        </w:rPr>
        <w:fldChar w:fldCharType="separate"/>
      </w:r>
      <w:r>
        <w:rPr>
          <w:rFonts w:hint="default" w:ascii="Times New Roman" w:hAnsi="Times New Roman" w:cs="Times New Roman"/>
          <w:u w:val="none"/>
        </w:rPr>
        <w:t>28</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"_Toc229651121"</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四、强化数字重庆和人工智能双向赋能</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_Toc229651121 \h </w:instrText>
      </w:r>
      <w:r>
        <w:rPr>
          <w:rFonts w:hint="default" w:ascii="Times New Roman" w:hAnsi="Times New Roman" w:cs="Times New Roman"/>
          <w:u w:val="none"/>
        </w:rPr>
        <w:fldChar w:fldCharType="separate"/>
      </w:r>
      <w:r>
        <w:rPr>
          <w:rFonts w:hint="default" w:ascii="Times New Roman" w:hAnsi="Times New Roman" w:cs="Times New Roman"/>
          <w:u w:val="none"/>
        </w:rPr>
        <w:t>30</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"_Toc229651122"</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（一）</w:t>
      </w:r>
      <w:r>
        <w:rPr>
          <w:rStyle w:val="8"/>
          <w:rFonts w:hint="default" w:ascii="Times New Roman" w:hAnsi="Times New Roman" w:eastAsia="方正楷体_GBK" w:cs="Times New Roman"/>
          <w:u w:val="none"/>
        </w:rPr>
        <w:t>加强</w:t>
      </w:r>
      <w:r>
        <w:rPr>
          <w:rStyle w:val="8"/>
          <w:rFonts w:hint="eastAsia" w:ascii="Times New Roman" w:hAnsi="Times New Roman" w:eastAsia="方正楷体_GBK" w:cs="Times New Roman"/>
          <w:u w:val="none"/>
          <w:lang w:val="en-US" w:eastAsia="zh-CN"/>
        </w:rPr>
        <w:t>人工智能</w:t>
      </w:r>
      <w:r>
        <w:rPr>
          <w:rStyle w:val="8"/>
          <w:rFonts w:hint="default" w:ascii="Times New Roman" w:hAnsi="Times New Roman" w:eastAsia="方正楷体_GBK" w:cs="Times New Roman"/>
          <w:u w:val="none"/>
        </w:rPr>
        <w:t>关键核心技术</w:t>
      </w:r>
      <w:r>
        <w:rPr>
          <w:rStyle w:val="8"/>
          <w:rFonts w:hint="default" w:ascii="Times New Roman" w:hAnsi="Times New Roman" w:eastAsia="方正楷体_GBK" w:cs="Times New Roman"/>
          <w:bCs/>
          <w:u w:val="none"/>
        </w:rPr>
        <w:t>攻关</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_Toc229651122 \h </w:instrText>
      </w:r>
      <w:r>
        <w:rPr>
          <w:rFonts w:hint="default" w:ascii="Times New Roman" w:hAnsi="Times New Roman" w:cs="Times New Roman"/>
          <w:u w:val="none"/>
        </w:rPr>
        <w:fldChar w:fldCharType="separate"/>
      </w:r>
      <w:r>
        <w:rPr>
          <w:rFonts w:hint="default" w:ascii="Times New Roman" w:hAnsi="Times New Roman" w:cs="Times New Roman"/>
          <w:u w:val="none"/>
        </w:rPr>
        <w:t>30</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"_Toc229651123"</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（二）</w:t>
      </w:r>
      <w:r>
        <w:rPr>
          <w:rStyle w:val="8"/>
          <w:rFonts w:hint="default" w:ascii="Times New Roman" w:hAnsi="Times New Roman" w:eastAsia="方正楷体_GBK" w:cs="Times New Roman"/>
          <w:u w:val="none"/>
        </w:rPr>
        <w:t>加快人工智能产业发展</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_Toc229651123 \h </w:instrText>
      </w:r>
      <w:r>
        <w:rPr>
          <w:rFonts w:hint="default" w:ascii="Times New Roman" w:hAnsi="Times New Roman" w:cs="Times New Roman"/>
          <w:u w:val="none"/>
        </w:rPr>
        <w:fldChar w:fldCharType="separate"/>
      </w:r>
      <w:r>
        <w:rPr>
          <w:rFonts w:hint="default" w:ascii="Times New Roman" w:hAnsi="Times New Roman" w:cs="Times New Roman"/>
          <w:u w:val="none"/>
        </w:rPr>
        <w:t>32</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"_Toc229651124"</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（三）建设人工智能应用场景体系</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_Toc229651124 \h </w:instrText>
      </w:r>
      <w:r>
        <w:rPr>
          <w:rFonts w:hint="default" w:ascii="Times New Roman" w:hAnsi="Times New Roman" w:cs="Times New Roman"/>
          <w:u w:val="none"/>
        </w:rPr>
        <w:fldChar w:fldCharType="separate"/>
      </w:r>
      <w:r>
        <w:rPr>
          <w:rFonts w:hint="default" w:ascii="Times New Roman" w:hAnsi="Times New Roman" w:cs="Times New Roman"/>
          <w:u w:val="none"/>
        </w:rPr>
        <w:t>32</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"_Toc229651125"</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五、加速数智技术和产业创新融合</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_Toc229651125 \h </w:instrText>
      </w:r>
      <w:r>
        <w:rPr>
          <w:rFonts w:hint="default" w:ascii="Times New Roman" w:hAnsi="Times New Roman" w:cs="Times New Roman"/>
          <w:u w:val="none"/>
        </w:rPr>
        <w:fldChar w:fldCharType="separate"/>
      </w:r>
      <w:r>
        <w:rPr>
          <w:rFonts w:hint="default" w:ascii="Times New Roman" w:hAnsi="Times New Roman" w:cs="Times New Roman"/>
          <w:u w:val="none"/>
        </w:rPr>
        <w:t>33</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"_Toc229651126"</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（一）推进数智产业创新发展</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_Toc229651126 \h </w:instrText>
      </w:r>
      <w:r>
        <w:rPr>
          <w:rFonts w:hint="default" w:ascii="Times New Roman" w:hAnsi="Times New Roman" w:cs="Times New Roman"/>
          <w:u w:val="none"/>
        </w:rPr>
        <w:fldChar w:fldCharType="separate"/>
      </w:r>
      <w:r>
        <w:rPr>
          <w:rFonts w:hint="default" w:ascii="Times New Roman" w:hAnsi="Times New Roman" w:cs="Times New Roman"/>
          <w:u w:val="none"/>
        </w:rPr>
        <w:t>33</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"_Toc229651127"</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（二）加快产业数智化转型</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_Toc229651127 \h </w:instrText>
      </w:r>
      <w:r>
        <w:rPr>
          <w:rFonts w:hint="default" w:ascii="Times New Roman" w:hAnsi="Times New Roman" w:cs="Times New Roman"/>
          <w:u w:val="none"/>
        </w:rPr>
        <w:fldChar w:fldCharType="separate"/>
      </w:r>
      <w:r>
        <w:rPr>
          <w:rFonts w:hint="default" w:ascii="Times New Roman" w:hAnsi="Times New Roman" w:cs="Times New Roman"/>
          <w:u w:val="none"/>
        </w:rPr>
        <w:t>34</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"_Toc229651128"</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（三）打造一流创新融合应用生态</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_Toc229651128 \h </w:instrText>
      </w:r>
      <w:r>
        <w:rPr>
          <w:rFonts w:hint="default" w:ascii="Times New Roman" w:hAnsi="Times New Roman" w:cs="Times New Roman"/>
          <w:u w:val="none"/>
        </w:rPr>
        <w:fldChar w:fldCharType="separate"/>
      </w:r>
      <w:r>
        <w:rPr>
          <w:rFonts w:hint="default" w:ascii="Times New Roman" w:hAnsi="Times New Roman" w:cs="Times New Roman"/>
          <w:u w:val="none"/>
        </w:rPr>
        <w:t>36</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"_Toc229651129"</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六、</w:t>
      </w:r>
      <w:r>
        <w:rPr>
          <w:rStyle w:val="8"/>
          <w:rFonts w:hint="default" w:ascii="Times New Roman" w:hAnsi="Times New Roman" w:eastAsia="方正黑体_GBK" w:cs="Times New Roman"/>
          <w:kern w:val="44"/>
          <w:u w:val="none"/>
          <w:lang w:eastAsia="zh"/>
        </w:rPr>
        <w:t>持续深化数据要素市场化配置改革</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_Toc229651129 \h </w:instrText>
      </w:r>
      <w:r>
        <w:rPr>
          <w:rFonts w:hint="default" w:ascii="Times New Roman" w:hAnsi="Times New Roman" w:cs="Times New Roman"/>
          <w:u w:val="none"/>
        </w:rPr>
        <w:fldChar w:fldCharType="separate"/>
      </w:r>
      <w:r>
        <w:rPr>
          <w:rFonts w:hint="default" w:ascii="Times New Roman" w:hAnsi="Times New Roman" w:cs="Times New Roman"/>
          <w:u w:val="none"/>
        </w:rPr>
        <w:t>36</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"_Toc229651130"</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u w:val="none"/>
          <w:lang w:eastAsia="zh"/>
        </w:rPr>
        <w:t>（一）推动公共数据开放运营</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_Toc229651130 \h </w:instrText>
      </w:r>
      <w:r>
        <w:rPr>
          <w:rFonts w:hint="default" w:ascii="Times New Roman" w:hAnsi="Times New Roman" w:cs="Times New Roman"/>
          <w:u w:val="none"/>
        </w:rPr>
        <w:fldChar w:fldCharType="separate"/>
      </w:r>
      <w:r>
        <w:rPr>
          <w:rFonts w:hint="default" w:ascii="Times New Roman" w:hAnsi="Times New Roman" w:cs="Times New Roman"/>
          <w:u w:val="none"/>
        </w:rPr>
        <w:t>37</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"_Toc229651131"</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u w:val="none"/>
          <w:lang w:eastAsia="zh"/>
        </w:rPr>
        <w:t>（二）深化数据基础制度建设</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_Toc229651131 \h </w:instrText>
      </w:r>
      <w:r>
        <w:rPr>
          <w:rFonts w:hint="default" w:ascii="Times New Roman" w:hAnsi="Times New Roman" w:cs="Times New Roman"/>
          <w:u w:val="none"/>
        </w:rPr>
        <w:fldChar w:fldCharType="separate"/>
      </w:r>
      <w:r>
        <w:rPr>
          <w:rFonts w:hint="default" w:ascii="Times New Roman" w:hAnsi="Times New Roman" w:cs="Times New Roman"/>
          <w:u w:val="none"/>
        </w:rPr>
        <w:t>37</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"_Toc229651132"</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u w:val="none"/>
          <w:lang w:eastAsia="zh"/>
        </w:rPr>
        <w:t>（三）健全数据流通交易体系</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_Toc229651132 \h </w:instrText>
      </w:r>
      <w:r>
        <w:rPr>
          <w:rFonts w:hint="default" w:ascii="Times New Roman" w:hAnsi="Times New Roman" w:cs="Times New Roman"/>
          <w:u w:val="none"/>
        </w:rPr>
        <w:fldChar w:fldCharType="separate"/>
      </w:r>
      <w:r>
        <w:rPr>
          <w:rFonts w:hint="default" w:ascii="Times New Roman" w:hAnsi="Times New Roman" w:cs="Times New Roman"/>
          <w:u w:val="none"/>
        </w:rPr>
        <w:t>38</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"_Toc229651133"</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u w:val="none"/>
          <w:lang w:eastAsia="zh"/>
        </w:rPr>
        <w:t>（四）强化数据开发利用</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_Toc229651133 \h </w:instrText>
      </w:r>
      <w:r>
        <w:rPr>
          <w:rFonts w:hint="default" w:ascii="Times New Roman" w:hAnsi="Times New Roman" w:cs="Times New Roman"/>
          <w:u w:val="none"/>
        </w:rPr>
        <w:fldChar w:fldCharType="separate"/>
      </w:r>
      <w:r>
        <w:rPr>
          <w:rFonts w:hint="default" w:ascii="Times New Roman" w:hAnsi="Times New Roman" w:cs="Times New Roman"/>
          <w:u w:val="none"/>
        </w:rPr>
        <w:t>38</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"_Toc229651134"</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七、深化数智领域开放合作</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_Toc229651134 \h </w:instrText>
      </w:r>
      <w:r>
        <w:rPr>
          <w:rFonts w:hint="default" w:ascii="Times New Roman" w:hAnsi="Times New Roman" w:cs="Times New Roman"/>
          <w:u w:val="none"/>
        </w:rPr>
        <w:fldChar w:fldCharType="separate"/>
      </w:r>
      <w:r>
        <w:rPr>
          <w:rFonts w:hint="default" w:ascii="Times New Roman" w:hAnsi="Times New Roman" w:cs="Times New Roman"/>
          <w:u w:val="none"/>
        </w:rPr>
        <w:t>39</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"_Toc229651135"</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u w:val="none"/>
        </w:rPr>
        <w:t>（一）数智赋能西部陆海新通道建设</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_Toc229651135 \h </w:instrText>
      </w:r>
      <w:r>
        <w:rPr>
          <w:rFonts w:hint="default" w:ascii="Times New Roman" w:hAnsi="Times New Roman" w:cs="Times New Roman"/>
          <w:u w:val="none"/>
        </w:rPr>
        <w:fldChar w:fldCharType="separate"/>
      </w:r>
      <w:r>
        <w:rPr>
          <w:rFonts w:hint="default" w:ascii="Times New Roman" w:hAnsi="Times New Roman" w:cs="Times New Roman"/>
          <w:u w:val="none"/>
        </w:rPr>
        <w:t>39</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"_Toc229651136"</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u w:val="none"/>
        </w:rPr>
        <w:t>（二）数智赋能成渝地区双城经济圈建设</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_Toc229651136 \h </w:instrText>
      </w:r>
      <w:r>
        <w:rPr>
          <w:rFonts w:hint="default" w:ascii="Times New Roman" w:hAnsi="Times New Roman" w:cs="Times New Roman"/>
          <w:u w:val="none"/>
        </w:rPr>
        <w:fldChar w:fldCharType="separate"/>
      </w:r>
      <w:r>
        <w:rPr>
          <w:rFonts w:hint="default" w:ascii="Times New Roman" w:hAnsi="Times New Roman" w:cs="Times New Roman"/>
          <w:u w:val="none"/>
        </w:rPr>
        <w:t>40</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"_Toc229651137"</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u w:val="none"/>
        </w:rPr>
        <w:t>（三）数智赋能长江经济带高质量发展</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_Toc229651137 \h </w:instrText>
      </w:r>
      <w:r>
        <w:rPr>
          <w:rFonts w:hint="default" w:ascii="Times New Roman" w:hAnsi="Times New Roman" w:cs="Times New Roman"/>
          <w:u w:val="none"/>
        </w:rPr>
        <w:fldChar w:fldCharType="separate"/>
      </w:r>
      <w:r>
        <w:rPr>
          <w:rFonts w:hint="default" w:ascii="Times New Roman" w:hAnsi="Times New Roman" w:cs="Times New Roman"/>
          <w:u w:val="none"/>
        </w:rPr>
        <w:t>40</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"_Toc229651138"</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u w:val="none"/>
        </w:rPr>
        <w:t>（四）数智赋能中新合作提档升级</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_Toc229651138 \h </w:instrText>
      </w:r>
      <w:r>
        <w:rPr>
          <w:rFonts w:hint="default" w:ascii="Times New Roman" w:hAnsi="Times New Roman" w:cs="Times New Roman"/>
          <w:u w:val="none"/>
        </w:rPr>
        <w:fldChar w:fldCharType="separate"/>
      </w:r>
      <w:r>
        <w:rPr>
          <w:rFonts w:hint="default" w:ascii="Times New Roman" w:hAnsi="Times New Roman" w:cs="Times New Roman"/>
          <w:u w:val="none"/>
        </w:rPr>
        <w:t>40</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"_Toc229651139"</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八、强化数智人才队伍建设</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_Toc229651139 \h </w:instrText>
      </w:r>
      <w:r>
        <w:rPr>
          <w:rFonts w:hint="default" w:ascii="Times New Roman" w:hAnsi="Times New Roman" w:cs="Times New Roman"/>
          <w:u w:val="none"/>
        </w:rPr>
        <w:fldChar w:fldCharType="separate"/>
      </w:r>
      <w:r>
        <w:rPr>
          <w:rFonts w:hint="default" w:ascii="Times New Roman" w:hAnsi="Times New Roman" w:cs="Times New Roman"/>
          <w:u w:val="none"/>
        </w:rPr>
        <w:t>41</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"_Toc229651140"</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（一）建立数智人才培养新模式</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_Toc229651140 \h </w:instrText>
      </w:r>
      <w:r>
        <w:rPr>
          <w:rFonts w:hint="default" w:ascii="Times New Roman" w:hAnsi="Times New Roman" w:cs="Times New Roman"/>
          <w:u w:val="none"/>
        </w:rPr>
        <w:fldChar w:fldCharType="separate"/>
      </w:r>
      <w:r>
        <w:rPr>
          <w:rFonts w:hint="default" w:ascii="Times New Roman" w:hAnsi="Times New Roman" w:cs="Times New Roman"/>
          <w:u w:val="none"/>
        </w:rPr>
        <w:t>41</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"_Toc229651141"</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（二）优化人才综合激励机制</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_Toc229651141 \h </w:instrText>
      </w:r>
      <w:r>
        <w:rPr>
          <w:rFonts w:hint="default" w:ascii="Times New Roman" w:hAnsi="Times New Roman" w:cs="Times New Roman"/>
          <w:u w:val="none"/>
        </w:rPr>
        <w:fldChar w:fldCharType="separate"/>
      </w:r>
      <w:r>
        <w:rPr>
          <w:rFonts w:hint="default" w:ascii="Times New Roman" w:hAnsi="Times New Roman" w:cs="Times New Roman"/>
          <w:u w:val="none"/>
        </w:rPr>
        <w:t>41</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"_Toc229651142"</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（三）强化数智人才引进合作</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_Toc229651142 \h </w:instrText>
      </w:r>
      <w:r>
        <w:rPr>
          <w:rFonts w:hint="default" w:ascii="Times New Roman" w:hAnsi="Times New Roman" w:cs="Times New Roman"/>
          <w:u w:val="none"/>
        </w:rPr>
        <w:fldChar w:fldCharType="separate"/>
      </w:r>
      <w:r>
        <w:rPr>
          <w:rFonts w:hint="default" w:ascii="Times New Roman" w:hAnsi="Times New Roman" w:cs="Times New Roman"/>
          <w:u w:val="none"/>
        </w:rPr>
        <w:t>42</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"_Toc229651143"</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（四）构建数智人才发展新平台</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_Toc229651143 \h </w:instrText>
      </w:r>
      <w:r>
        <w:rPr>
          <w:rFonts w:hint="default" w:ascii="Times New Roman" w:hAnsi="Times New Roman" w:cs="Times New Roman"/>
          <w:u w:val="none"/>
        </w:rPr>
        <w:fldChar w:fldCharType="separate"/>
      </w:r>
      <w:r>
        <w:rPr>
          <w:rFonts w:hint="default" w:ascii="Times New Roman" w:hAnsi="Times New Roman" w:cs="Times New Roman"/>
          <w:u w:val="none"/>
        </w:rPr>
        <w:t>42</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4"/>
        <w:tabs>
          <w:tab w:val="right" w:leader="dot" w:pos="8779"/>
        </w:tabs>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"_Toc229651144"</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黑体_GBK" w:cs="Times New Roman"/>
          <w:kern w:val="44"/>
          <w:u w:val="none"/>
        </w:rPr>
        <w:t>九、保障措施</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_Toc229651144 \h </w:instrText>
      </w:r>
      <w:r>
        <w:rPr>
          <w:rFonts w:hint="default" w:ascii="Times New Roman" w:hAnsi="Times New Roman" w:cs="Times New Roman"/>
          <w:u w:val="none"/>
        </w:rPr>
        <w:fldChar w:fldCharType="separate"/>
      </w:r>
      <w:r>
        <w:rPr>
          <w:rFonts w:hint="default" w:ascii="Times New Roman" w:hAnsi="Times New Roman" w:cs="Times New Roman"/>
          <w:u w:val="none"/>
        </w:rPr>
        <w:t>43</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"_Toc229651145"</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（一）强化组织领导</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_Toc229651145 \h </w:instrText>
      </w:r>
      <w:r>
        <w:rPr>
          <w:rFonts w:hint="default" w:ascii="Times New Roman" w:hAnsi="Times New Roman" w:cs="Times New Roman"/>
          <w:u w:val="none"/>
        </w:rPr>
        <w:fldChar w:fldCharType="separate"/>
      </w:r>
      <w:r>
        <w:rPr>
          <w:rFonts w:hint="default" w:ascii="Times New Roman" w:hAnsi="Times New Roman" w:cs="Times New Roman"/>
          <w:u w:val="none"/>
        </w:rPr>
        <w:t>43</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"_Toc229651146"</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（二）强化责任落实</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_Toc229651146 \h </w:instrText>
      </w:r>
      <w:r>
        <w:rPr>
          <w:rFonts w:hint="default" w:ascii="Times New Roman" w:hAnsi="Times New Roman" w:cs="Times New Roman"/>
          <w:u w:val="none"/>
        </w:rPr>
        <w:fldChar w:fldCharType="separate"/>
      </w:r>
      <w:r>
        <w:rPr>
          <w:rFonts w:hint="default" w:ascii="Times New Roman" w:hAnsi="Times New Roman" w:cs="Times New Roman"/>
          <w:u w:val="none"/>
        </w:rPr>
        <w:t>43</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pStyle w:val="5"/>
        <w:tabs>
          <w:tab w:val="right" w:leader="dot" w:pos="8779"/>
        </w:tabs>
        <w:ind w:left="640"/>
        <w:rPr>
          <w:rFonts w:hint="default" w:ascii="Times New Roman" w:hAnsi="Times New Roman" w:eastAsia="等线" w:cs="Times New Roman"/>
          <w:sz w:val="22"/>
          <w:u w:val="none"/>
        </w:rPr>
      </w:pPr>
      <w:r>
        <w:rPr>
          <w:rStyle w:val="8"/>
          <w:rFonts w:hint="default" w:ascii="Times New Roman" w:hAnsi="Times New Roman" w:cs="Times New Roman"/>
          <w:u w:val="none"/>
        </w:rPr>
        <w:fldChar w:fldCharType="begin"/>
      </w:r>
      <w:r>
        <w:rPr>
          <w:rStyle w:val="8"/>
          <w:rFonts w:hint="default" w:ascii="Times New Roman" w:hAnsi="Times New Roman" w:cs="Times New Roman"/>
          <w:u w:val="none"/>
        </w:rPr>
        <w:instrText xml:space="preserve"> </w:instrText>
      </w:r>
      <w:r>
        <w:rPr>
          <w:rFonts w:hint="default" w:ascii="Times New Roman" w:hAnsi="Times New Roman" w:cs="Times New Roman"/>
          <w:u w:val="none"/>
        </w:rPr>
        <w:instrText xml:space="preserve">HYPERLINK \l "_Toc229651147"</w:instrText>
      </w:r>
      <w:r>
        <w:rPr>
          <w:rStyle w:val="8"/>
          <w:rFonts w:hint="default" w:ascii="Times New Roman" w:hAnsi="Times New Roman" w:cs="Times New Roman"/>
          <w:u w:val="none"/>
        </w:rPr>
        <w:instrText xml:space="preserve"> </w:instrText>
      </w:r>
      <w:r>
        <w:rPr>
          <w:rStyle w:val="8"/>
          <w:rFonts w:hint="default" w:ascii="Times New Roman" w:hAnsi="Times New Roman" w:cs="Times New Roman"/>
          <w:u w:val="none"/>
        </w:rPr>
        <w:fldChar w:fldCharType="separate"/>
      </w:r>
      <w:r>
        <w:rPr>
          <w:rStyle w:val="8"/>
          <w:rFonts w:hint="default" w:ascii="Times New Roman" w:hAnsi="Times New Roman" w:eastAsia="方正楷体_GBK" w:cs="Times New Roman"/>
          <w:bCs/>
          <w:u w:val="none"/>
        </w:rPr>
        <w:t>（三）强化要素保障</w:t>
      </w:r>
      <w:r>
        <w:rPr>
          <w:rFonts w:hint="default" w:ascii="Times New Roman" w:hAnsi="Times New Roman" w:cs="Times New Roman"/>
          <w:u w:val="none"/>
        </w:rPr>
        <w:tab/>
      </w:r>
      <w:r>
        <w:rPr>
          <w:rFonts w:hint="default" w:ascii="Times New Roman" w:hAnsi="Times New Roman" w:cs="Times New Roman"/>
          <w:u w:val="none"/>
        </w:rPr>
        <w:fldChar w:fldCharType="begin"/>
      </w:r>
      <w:r>
        <w:rPr>
          <w:rFonts w:hint="default" w:ascii="Times New Roman" w:hAnsi="Times New Roman" w:cs="Times New Roman"/>
          <w:u w:val="none"/>
        </w:rPr>
        <w:instrText xml:space="preserve"> PAGEREF _Toc229651147 \h </w:instrText>
      </w:r>
      <w:r>
        <w:rPr>
          <w:rFonts w:hint="default" w:ascii="Times New Roman" w:hAnsi="Times New Roman" w:cs="Times New Roman"/>
          <w:u w:val="none"/>
        </w:rPr>
        <w:fldChar w:fldCharType="separate"/>
      </w:r>
      <w:r>
        <w:rPr>
          <w:rFonts w:hint="default" w:ascii="Times New Roman" w:hAnsi="Times New Roman" w:cs="Times New Roman"/>
          <w:u w:val="none"/>
        </w:rPr>
        <w:t>43</w:t>
      </w:r>
      <w:r>
        <w:rPr>
          <w:rFonts w:hint="default" w:ascii="Times New Roman" w:hAnsi="Times New Roman" w:cs="Times New Roman"/>
          <w:u w:val="none"/>
        </w:rPr>
        <w:fldChar w:fldCharType="end"/>
      </w:r>
      <w:r>
        <w:rPr>
          <w:rStyle w:val="8"/>
          <w:rFonts w:hint="default" w:ascii="Times New Roman" w:hAnsi="Times New Roman" w:cs="Times New Roman"/>
          <w:u w:val="none"/>
        </w:rPr>
        <w:fldChar w:fldCharType="end"/>
      </w:r>
    </w:p>
    <w:p>
      <w:pPr>
        <w:spacing w:line="480" w:lineRule="exact"/>
        <w:ind w:firstLine="560"/>
        <w:rPr>
          <w:rFonts w:ascii="Times New Roman" w:hAnsi="Times New Roman"/>
          <w:u w:val="none"/>
        </w:rPr>
        <w:sectPr>
          <w:headerReference r:id="rId9" w:type="default"/>
          <w:footerReference r:id="rId10" w:type="default"/>
          <w:pgSz w:w="11850" w:h="16840"/>
          <w:pgMar w:top="2098" w:right="1474" w:bottom="1984" w:left="1587" w:header="851" w:footer="1587" w:gutter="0"/>
          <w:pgNumType w:fmt="upperRoman" w:start="1"/>
          <w:cols w:space="720" w:num="1"/>
          <w:docGrid w:type="lines" w:linePitch="435" w:charSpace="0"/>
        </w:sectPr>
      </w:pPr>
      <w:r>
        <w:rPr>
          <w:rFonts w:ascii="Times New Roman" w:hAnsi="Times New Roman"/>
          <w:sz w:val="28"/>
          <w:szCs w:val="22"/>
          <w:u w:val="none"/>
        </w:rPr>
        <w:fldChar w:fldCharType="end"/>
      </w:r>
    </w:p>
    <w:p>
      <w:pPr>
        <w:spacing w:line="560" w:lineRule="exact"/>
        <w:rPr>
          <w:rFonts w:ascii="Times New Roman" w:hAnsi="Times New Roman"/>
          <w:u w:val="none"/>
        </w:rPr>
      </w:pPr>
      <w:r>
        <w:rPr>
          <w:rFonts w:ascii="Times New Roman" w:hAnsi="Times New Roman"/>
          <w:u w:val="none"/>
        </w:rPr>
        <w:t>为贯彻落实党中央、国务院关于数字中国建设战略部署，充分发挥数据要素关键作用，提速数智赋能现代化新重庆建设，依据《重庆市国民经济和社会发展第十五个五年规划纲要》，制定本规划。规划期为2026—2030年。</w:t>
      </w:r>
    </w:p>
    <w:p>
      <w:pPr>
        <w:keepNext/>
        <w:keepLines/>
        <w:spacing w:line="560" w:lineRule="exact"/>
        <w:jc w:val="left"/>
        <w:outlineLvl w:val="0"/>
        <w:rPr>
          <w:rFonts w:ascii="Times New Roman" w:hAnsi="Times New Roman" w:eastAsia="方正黑体_GBK"/>
          <w:kern w:val="44"/>
          <w:szCs w:val="32"/>
          <w:u w:val="none"/>
        </w:rPr>
      </w:pPr>
      <w:bookmarkStart w:id="8" w:name="_Toc229651109"/>
      <w:bookmarkStart w:id="9" w:name="_Toc16007"/>
      <w:r>
        <w:rPr>
          <w:rFonts w:ascii="Times New Roman" w:hAnsi="Times New Roman" w:eastAsia="方正黑体_GBK"/>
          <w:kern w:val="44"/>
          <w:szCs w:val="32"/>
          <w:u w:val="none"/>
        </w:rPr>
        <w:t>一、发展基础</w:t>
      </w:r>
      <w:bookmarkEnd w:id="4"/>
      <w:bookmarkEnd w:id="5"/>
      <w:bookmarkEnd w:id="8"/>
      <w:bookmarkEnd w:id="9"/>
    </w:p>
    <w:p>
      <w:pPr>
        <w:keepNext/>
        <w:keepLines/>
        <w:suppressAutoHyphens/>
        <w:spacing w:line="560" w:lineRule="exact"/>
        <w:jc w:val="left"/>
        <w:outlineLvl w:val="1"/>
        <w:rPr>
          <w:rFonts w:ascii="Times New Roman" w:hAnsi="Times New Roman" w:eastAsia="方正楷体_GBK"/>
          <w:bCs/>
          <w:szCs w:val="32"/>
          <w:u w:val="none"/>
        </w:rPr>
      </w:pPr>
      <w:bookmarkStart w:id="10" w:name="_Toc223610163"/>
      <w:bookmarkStart w:id="11" w:name="_Toc227252596"/>
      <w:bookmarkStart w:id="12" w:name="_Toc229651110"/>
      <w:bookmarkStart w:id="13" w:name="_Toc28411"/>
      <w:r>
        <w:rPr>
          <w:rFonts w:ascii="Times New Roman" w:hAnsi="Times New Roman" w:eastAsia="方正楷体_GBK"/>
          <w:bCs/>
          <w:szCs w:val="32"/>
          <w:u w:val="none"/>
        </w:rPr>
        <w:t>（一）</w:t>
      </w:r>
      <w:bookmarkEnd w:id="10"/>
      <w:bookmarkEnd w:id="11"/>
      <w:r>
        <w:rPr>
          <w:rFonts w:ascii="Times New Roman" w:hAnsi="Times New Roman" w:eastAsia="方正楷体_GBK"/>
          <w:bCs/>
          <w:szCs w:val="32"/>
          <w:u w:val="none"/>
        </w:rPr>
        <w:t>显著成效</w:t>
      </w:r>
      <w:bookmarkEnd w:id="12"/>
      <w:bookmarkEnd w:id="13"/>
    </w:p>
    <w:p>
      <w:pPr>
        <w:spacing w:line="560" w:lineRule="exact"/>
        <w:rPr>
          <w:rFonts w:ascii="Times New Roman" w:hAnsi="Times New Roman"/>
          <w:b/>
          <w:bCs/>
          <w:szCs w:val="21"/>
          <w:u w:val="none"/>
        </w:rPr>
      </w:pPr>
      <w:r>
        <w:rPr>
          <w:rFonts w:ascii="Times New Roman" w:hAnsi="Times New Roman"/>
          <w:szCs w:val="21"/>
          <w:u w:val="none"/>
        </w:rPr>
        <w:t>“十四五”时期，重庆深入贯彻党的二十大和二十届历次全会精神，深入落实习近平总书记视察重庆重要讲话重要指示精神，聚焦超大城市发展服务安全治理共性问题，扎实推进数字中国建设综合试点，构建数字重庆“1361”整体架构，持续夯实数字重庆基本能力，市域治理体系和治理能力迈上新台阶，为“十五五”时期推进数字重庆建设奠定坚实基础。</w:t>
      </w:r>
    </w:p>
    <w:p>
      <w:pPr>
        <w:spacing w:line="560" w:lineRule="exact"/>
        <w:ind w:firstLine="643"/>
        <w:rPr>
          <w:rFonts w:ascii="Times New Roman" w:hAnsi="Times New Roman"/>
          <w:szCs w:val="21"/>
          <w:u w:val="none"/>
        </w:rPr>
      </w:pPr>
      <w:r>
        <w:rPr>
          <w:rFonts w:ascii="Times New Roman" w:hAnsi="Times New Roman"/>
          <w:b/>
          <w:bCs/>
          <w:szCs w:val="21"/>
          <w:u w:val="none"/>
        </w:rPr>
        <w:t>一体化智能化公共数据平台支撑赋能能力稳步提升</w:t>
      </w:r>
      <w:r>
        <w:rPr>
          <w:rFonts w:ascii="Times New Roman" w:hAnsi="Times New Roman"/>
          <w:szCs w:val="21"/>
          <w:u w:val="none"/>
        </w:rPr>
        <w:t>。建成市域一体化公共数据资源体系，畅通国家、市级部门、区县、镇街“数据通道”。强化数据资源“一本账”管理，提速推进数据编目归集治理共享，累计共享数据21万类，供需满足率达95%。稳步推进政务侧、行业侧高质量数据集建设，5个高质量数据集纳入国家先行先试名单。全面建成国土空间数据综合信息系统（GIS），累计发布空间图层1433个。建成新型数字基础设施体系，创新打造政务外网与视联网“一网两线”异构主备模式。建成共建共享共用的能力组件体系，累计上架组件近600个、调用量超20亿次。形成“渝快办”“渝快政”高效协同的办事服务和协同履职总入口，注册用户分别2300万、99.5万，集成全量政务服务事项和便民服务，实现跨层级、跨条线、跨部门在线沟通和扁平化管理。建成数字重庆“云网数端用”安全防护体系，筑牢数字重庆整体安全屏障。</w:t>
      </w:r>
    </w:p>
    <w:p>
      <w:pPr>
        <w:spacing w:line="560" w:lineRule="exact"/>
        <w:ind w:firstLine="643"/>
        <w:rPr>
          <w:rFonts w:ascii="Times New Roman" w:hAnsi="Times New Roman"/>
          <w:szCs w:val="21"/>
          <w:u w:val="none"/>
        </w:rPr>
      </w:pPr>
      <w:r>
        <w:rPr>
          <w:rFonts w:ascii="Times New Roman" w:hAnsi="Times New Roman"/>
          <w:b/>
          <w:bCs/>
          <w:color w:val="000000"/>
          <w:szCs w:val="32"/>
          <w:u w:val="none"/>
          <w:lang w:eastAsia="zh"/>
        </w:rPr>
        <w:t>三级治理中心主轴</w:t>
      </w:r>
      <w:r>
        <w:rPr>
          <w:rFonts w:ascii="Times New Roman" w:hAnsi="Times New Roman"/>
          <w:b/>
          <w:bCs/>
          <w:color w:val="000000"/>
          <w:szCs w:val="32"/>
          <w:u w:val="none"/>
        </w:rPr>
        <w:t>功能全面巩固</w:t>
      </w:r>
      <w:r>
        <w:rPr>
          <w:rFonts w:ascii="Times New Roman" w:hAnsi="Times New Roman"/>
          <w:b/>
          <w:bCs/>
          <w:color w:val="000000"/>
          <w:szCs w:val="32"/>
          <w:u w:val="none"/>
          <w:lang w:eastAsia="zh"/>
        </w:rPr>
        <w:t>。</w:t>
      </w:r>
      <w:r>
        <w:rPr>
          <w:rFonts w:ascii="Times New Roman" w:hAnsi="Times New Roman"/>
          <w:szCs w:val="21"/>
          <w:u w:val="none"/>
        </w:rPr>
        <w:t>形成三级治理中心主轴实战基本能力，“1+39+1028”三级治理中心全面实体高效运行，健全感知预警、决策处置、监督评价、复盘改进闭环工作体系，完善五级联动机制，基本实现超大城市现代化治理从经验判断向数据驱动、被动响应向主动预警、条块治理向整体智治的转变。构建贯通部署支撑体系，贯通实战各行业领域332个应用、6.4万个智能预案，实现跨区县、跨镇街、跨村社高效调度指挥和协同联动。建成全市统一融合指挥调度系统，超大城市治理大模型迭代升级，推动人工智能全方位赋能数字重庆建设，有力保障城市平时高效运行、急时</w:t>
      </w:r>
      <w:r>
        <w:rPr>
          <w:rFonts w:ascii="Times New Roman" w:hAnsi="Times New Roman"/>
          <w:szCs w:val="21"/>
          <w:u w:val="none"/>
          <w:lang w:eastAsia="zh"/>
        </w:rPr>
        <w:t>稳定运行、危时</w:t>
      </w:r>
      <w:r>
        <w:rPr>
          <w:rFonts w:ascii="Times New Roman" w:hAnsi="Times New Roman"/>
          <w:szCs w:val="21"/>
          <w:u w:val="none"/>
        </w:rPr>
        <w:t>韧性安全。</w:t>
      </w:r>
    </w:p>
    <w:p>
      <w:pPr>
        <w:spacing w:line="560" w:lineRule="exact"/>
        <w:ind w:firstLine="643"/>
        <w:rPr>
          <w:rFonts w:ascii="Times New Roman" w:hAnsi="Times New Roman"/>
          <w:szCs w:val="21"/>
          <w:u w:val="none"/>
        </w:rPr>
      </w:pPr>
      <w:r>
        <w:rPr>
          <w:rFonts w:ascii="Times New Roman" w:hAnsi="Times New Roman"/>
          <w:b/>
          <w:bCs/>
          <w:color w:val="000000"/>
          <w:szCs w:val="32"/>
          <w:u w:val="none"/>
        </w:rPr>
        <w:t>六大应用系统闭环履职能力显著增强</w:t>
      </w:r>
      <w:r>
        <w:rPr>
          <w:rFonts w:ascii="Times New Roman" w:hAnsi="Times New Roman"/>
          <w:szCs w:val="21"/>
          <w:u w:val="none"/>
        </w:rPr>
        <w:t>。数字党建系统创新构建“885”工作体系，党建统领塑造变革能力显著提升。数字政务系统提速深化“一网通办”和“一网协同”，跨部门联合办公效率明显提升，逐步构建起协同高效的现代政府履职新机制。数字经济系统有力支撑现代产业体系升级，打造“产业大脑+未来工厂”新模式，建设产业大脑25个、未来工厂20家，助力智能网联新能源汽车等产业创新发展。数字社会系统形成社会保障、基本公共服务、品质生活、信用服务等基本能力，社会治理效能和服务水平全面提升。数字文化系统推动塑造自信繁荣文化新生态，意识形态风险感知防范能力和文旅创新发展活力不断增强。数字法治系统探索形成平安法治一体化推进新路径，行政执法改革试点执法事项综合率超过70%，平安法治水平持续提升。</w:t>
      </w:r>
    </w:p>
    <w:p>
      <w:pPr>
        <w:spacing w:line="560" w:lineRule="exact"/>
        <w:ind w:firstLine="643"/>
        <w:rPr>
          <w:rFonts w:ascii="Times New Roman" w:hAnsi="Times New Roman"/>
          <w:szCs w:val="21"/>
          <w:u w:val="none"/>
        </w:rPr>
      </w:pPr>
      <w:r>
        <w:rPr>
          <w:rFonts w:ascii="Times New Roman" w:hAnsi="Times New Roman"/>
          <w:b/>
          <w:bCs/>
          <w:color w:val="000000"/>
          <w:szCs w:val="32"/>
          <w:u w:val="none"/>
        </w:rPr>
        <w:t>基层智治实战能力全面提升</w:t>
      </w:r>
      <w:r>
        <w:rPr>
          <w:rFonts w:ascii="Times New Roman" w:hAnsi="Times New Roman"/>
          <w:szCs w:val="21"/>
          <w:u w:val="none"/>
        </w:rPr>
        <w:t>。建成具有重庆特色的“141”基层智治体系，覆盖全市1028个镇街，形成上下贯通、统揽有力的党建统领基层治理格局。构建一体化风险管控闭环，科学划分6.2万个村（社区）网格，20余万名镇街、村（社区）干部和网格员常态化进平台、用平台，实现矛盾纠纷全量纳管和源头化解。数据驱动便民服务精细化，基层全面贯通“民呼我为”等应用，月均办理群众身边事150万件，平均响应时间缩短25%。在全国率先打造“一表通”智能报表系统，基层报表数量、时间、人员均压减70%以上，基层治理水平全面提升。</w:t>
      </w:r>
    </w:p>
    <w:p>
      <w:pPr>
        <w:spacing w:line="560" w:lineRule="exact"/>
        <w:ind w:firstLine="643"/>
        <w:rPr>
          <w:rFonts w:ascii="Times New Roman" w:hAnsi="Times New Roman"/>
          <w:szCs w:val="21"/>
          <w:u w:val="none"/>
        </w:rPr>
      </w:pPr>
      <w:r>
        <w:rPr>
          <w:rFonts w:ascii="Times New Roman" w:hAnsi="Times New Roman"/>
          <w:b/>
          <w:bCs/>
          <w:color w:val="000000"/>
          <w:szCs w:val="32"/>
          <w:u w:val="none"/>
        </w:rPr>
        <w:t>数字经济加快突破</w:t>
      </w:r>
      <w:r>
        <w:rPr>
          <w:rFonts w:ascii="Times New Roman" w:hAnsi="Times New Roman"/>
          <w:szCs w:val="21"/>
          <w:u w:val="none"/>
        </w:rPr>
        <w:t>。“满天星”行动计划深入实施，累计引育软件企业4.62万家，主营业务收入突破5000亿元，较2021年增长77%。制造业数字化转型加速，建成国家卓越级智能工厂22个、国家级5G工厂34个。深入推进数据要素市场化配置综合改革试点，西部数据交易中心</w:t>
      </w:r>
      <w:bookmarkStart w:id="14" w:name="OLE_LINK10"/>
      <w:r>
        <w:rPr>
          <w:rFonts w:ascii="Times New Roman" w:hAnsi="Times New Roman"/>
          <w:szCs w:val="21"/>
          <w:u w:val="none"/>
        </w:rPr>
        <w:t>稳步发展，加快融入全国要素统一大市场。深化渝新数据要素跨境合作，中新国际互联网数据专用通道应用成效显著，数据安全服务平台上线运行，智能网联汽车、个人信息出境等领域率先开展先行先试，落地首笔中新数字人民币双边跨境结算，有力支撑数字陆海新通道建设。</w:t>
      </w:r>
    </w:p>
    <w:bookmarkEnd w:id="14"/>
    <w:p>
      <w:pPr>
        <w:spacing w:line="560" w:lineRule="exact"/>
        <w:ind w:firstLine="643"/>
        <w:rPr>
          <w:rFonts w:ascii="Times New Roman" w:hAnsi="Times New Roman"/>
          <w:szCs w:val="21"/>
          <w:u w:val="none"/>
        </w:rPr>
      </w:pPr>
      <w:r>
        <w:rPr>
          <w:rFonts w:ascii="Times New Roman" w:hAnsi="Times New Roman"/>
          <w:b/>
          <w:bCs/>
          <w:color w:val="000000"/>
          <w:szCs w:val="32"/>
          <w:u w:val="none"/>
        </w:rPr>
        <w:t>数字重庆制度理论成果丰硕</w:t>
      </w:r>
      <w:r>
        <w:rPr>
          <w:rFonts w:ascii="Times New Roman" w:hAnsi="Times New Roman"/>
          <w:szCs w:val="21"/>
          <w:u w:val="none"/>
        </w:rPr>
        <w:t>。出台《重庆市数据条例》《重庆市数据要素市场化配置改革行动方案》《重庆市政务数字化应用管理暂行办法》《重庆市数字化城市运行和治理中心建设运行管理暂行办法》《重庆市公共数据分级分类指南（试行）》《重庆市公共数据资源授权运营管理实施办法（试行）》等制度规范，创制数据资源等标准规范，推动数字重庆建设由“技术驱动”迈向“</w:t>
      </w:r>
      <w:r>
        <w:rPr>
          <w:rFonts w:ascii="Times New Roman" w:hAnsi="Times New Roman"/>
          <w:szCs w:val="21"/>
          <w:u w:val="none"/>
          <w:lang w:eastAsia="zh"/>
        </w:rPr>
        <w:t>制度保障+</w:t>
      </w:r>
      <w:r>
        <w:rPr>
          <w:rFonts w:ascii="Times New Roman" w:hAnsi="Times New Roman"/>
          <w:szCs w:val="21"/>
          <w:u w:val="none"/>
        </w:rPr>
        <w:t>标准驱动”。重塑数字重庆建设方法体系，</w:t>
      </w:r>
      <w:r>
        <w:rPr>
          <w:rFonts w:ascii="Times New Roman" w:hAnsi="Times New Roman"/>
          <w:color w:val="000000"/>
          <w:szCs w:val="21"/>
          <w:u w:val="none"/>
        </w:rPr>
        <w:t>形成核心业</w:t>
      </w:r>
      <w:r>
        <w:rPr>
          <w:rFonts w:ascii="Times New Roman" w:hAnsi="Times New Roman"/>
          <w:color w:val="000000"/>
          <w:szCs w:val="21"/>
          <w:u w:val="none"/>
          <w:lang w:eastAsia="zh"/>
        </w:rPr>
        <w:t>务梳理、制度构架</w:t>
      </w:r>
      <w:r>
        <w:rPr>
          <w:rFonts w:ascii="Times New Roman" w:hAnsi="Times New Roman"/>
          <w:szCs w:val="21"/>
          <w:u w:val="none"/>
        </w:rPr>
        <w:t>重建</w:t>
      </w:r>
      <w:r>
        <w:rPr>
          <w:rFonts w:ascii="Times New Roman" w:hAnsi="Times New Roman"/>
          <w:szCs w:val="21"/>
          <w:u w:val="none"/>
          <w:lang w:eastAsia="zh"/>
        </w:rPr>
        <w:t>、</w:t>
      </w:r>
      <w:r>
        <w:rPr>
          <w:rFonts w:ascii="Times New Roman" w:hAnsi="Times New Roman"/>
          <w:szCs w:val="21"/>
          <w:u w:val="none"/>
        </w:rPr>
        <w:t>“V”模型分析、“三张清单”编制、“一件事”集成等行之有效的方法路径。</w:t>
      </w:r>
    </w:p>
    <w:bookmarkEnd w:id="6"/>
    <w:bookmarkEnd w:id="7"/>
    <w:p>
      <w:pPr>
        <w:keepNext/>
        <w:keepLines/>
        <w:suppressAutoHyphens/>
        <w:spacing w:line="560" w:lineRule="exact"/>
        <w:outlineLvl w:val="1"/>
        <w:rPr>
          <w:rFonts w:ascii="Times New Roman" w:hAnsi="Times New Roman" w:eastAsia="方正楷体_GBK"/>
          <w:bCs/>
          <w:szCs w:val="32"/>
          <w:u w:val="none"/>
        </w:rPr>
      </w:pPr>
      <w:bookmarkStart w:id="15" w:name="_Toc227252597"/>
      <w:bookmarkStart w:id="16" w:name="_Toc223610164"/>
      <w:bookmarkStart w:id="17" w:name="_Toc20636"/>
      <w:bookmarkStart w:id="18" w:name="_Toc229651111"/>
      <w:bookmarkStart w:id="19" w:name="_Toc223512041"/>
      <w:bookmarkStart w:id="20" w:name="OLE_LINK1"/>
      <w:r>
        <w:rPr>
          <w:rFonts w:ascii="Times New Roman" w:hAnsi="Times New Roman" w:eastAsia="方正楷体_GBK"/>
          <w:bCs/>
          <w:szCs w:val="32"/>
          <w:u w:val="none"/>
        </w:rPr>
        <w:t>（二）面临形势</w:t>
      </w:r>
      <w:bookmarkEnd w:id="15"/>
      <w:bookmarkEnd w:id="16"/>
      <w:bookmarkEnd w:id="17"/>
      <w:bookmarkEnd w:id="18"/>
      <w:bookmarkEnd w:id="19"/>
    </w:p>
    <w:p>
      <w:pPr>
        <w:topLinePunct/>
        <w:adjustRightInd w:val="0"/>
        <w:spacing w:line="560" w:lineRule="exact"/>
        <w:rPr>
          <w:rFonts w:ascii="Times New Roman" w:hAnsi="Times New Roman"/>
          <w:color w:val="000000"/>
          <w:szCs w:val="32"/>
          <w:u w:val="none"/>
          <w:lang w:bidi="ar"/>
        </w:rPr>
      </w:pPr>
      <w:r>
        <w:rPr>
          <w:rFonts w:ascii="Times New Roman" w:hAnsi="Times New Roman"/>
          <w:color w:val="000000"/>
          <w:szCs w:val="32"/>
          <w:u w:val="none"/>
          <w:lang w:bidi="ar"/>
        </w:rPr>
        <w:t>“十五五”时期，数字重庆建设面临历史机遇，也伴随着挑战。</w:t>
      </w:r>
      <w:r>
        <w:rPr>
          <w:rFonts w:ascii="Times New Roman" w:hAnsi="Times New Roman"/>
          <w:b/>
          <w:bCs/>
          <w:color w:val="000000"/>
          <w:szCs w:val="32"/>
          <w:u w:val="none"/>
        </w:rPr>
        <w:t>从全球看</w:t>
      </w:r>
      <w:r>
        <w:rPr>
          <w:rFonts w:ascii="Times New Roman" w:hAnsi="Times New Roman"/>
          <w:color w:val="000000"/>
          <w:szCs w:val="32"/>
          <w:u w:val="none"/>
          <w:lang w:bidi="ar"/>
        </w:rPr>
        <w:t>，世界百年变局加速演进，数字化、网络化、智能化纵深发展，新一轮科技革命和产业变革加速突破，数字经济、人工智能成为国际竞争合作战略焦点。发展中国家对智能算力、数字基础设施的需求旺盛，数字合作、数字服务“出海”空间广阔。</w:t>
      </w:r>
      <w:r>
        <w:rPr>
          <w:rFonts w:ascii="Times New Roman" w:hAnsi="Times New Roman"/>
          <w:b/>
          <w:bCs/>
          <w:color w:val="000000"/>
          <w:szCs w:val="32"/>
          <w:u w:val="none"/>
        </w:rPr>
        <w:t>从全国看</w:t>
      </w:r>
      <w:r>
        <w:rPr>
          <w:rFonts w:ascii="Times New Roman" w:hAnsi="Times New Roman"/>
          <w:color w:val="000000"/>
          <w:szCs w:val="32"/>
          <w:u w:val="none"/>
          <w:lang w:bidi="ar"/>
        </w:rPr>
        <w:t>，深入推进数字中国建设成为推进中国式现代化的战略性、先导性力量。我国已建成全球规模最大、技术领先的数字基础设施，数据资源总量日益丰富，数智技术与</w:t>
      </w:r>
      <w:bookmarkStart w:id="21" w:name="OLE_LINK4"/>
      <w:r>
        <w:rPr>
          <w:rFonts w:ascii="Times New Roman" w:hAnsi="Times New Roman"/>
          <w:color w:val="000000"/>
          <w:szCs w:val="32"/>
          <w:u w:val="none"/>
          <w:lang w:bidi="ar"/>
        </w:rPr>
        <w:t>政治、经济、文化、社会、生态文明建设“五位一体”加速融合</w:t>
      </w:r>
      <w:bookmarkEnd w:id="21"/>
      <w:r>
        <w:rPr>
          <w:rFonts w:ascii="Times New Roman" w:hAnsi="Times New Roman"/>
          <w:color w:val="000000"/>
          <w:szCs w:val="32"/>
          <w:u w:val="none"/>
          <w:lang w:bidi="ar"/>
        </w:rPr>
        <w:t>。</w:t>
      </w:r>
      <w:r>
        <w:rPr>
          <w:rFonts w:ascii="Times New Roman" w:hAnsi="Times New Roman"/>
          <w:b/>
          <w:bCs/>
          <w:color w:val="000000"/>
          <w:szCs w:val="32"/>
          <w:u w:val="none"/>
        </w:rPr>
        <w:t>从重庆看</w:t>
      </w:r>
      <w:r>
        <w:rPr>
          <w:rFonts w:ascii="Times New Roman" w:hAnsi="Times New Roman"/>
          <w:color w:val="000000"/>
          <w:szCs w:val="32"/>
          <w:u w:val="none"/>
          <w:lang w:bidi="ar"/>
        </w:rPr>
        <w:t>，新时代西部大开发重要战略支点全面赋能，内陆开放综合枢纽集成打造，数字重庆基本能力建设取得重要阶段性成果、体系能力加速形成，党建统领塑造变革能力、现代政府治理水平、数字经济创新力竞争力、高品质生活服务能力、文化软实力、平安法治水平和干部队伍运用数字化思维、方法解决问题的能力显著跃升，人工智能和数字重庆加速双向赋能，数据资源从以建带聚转向提质增量、价值释放，治理模式从数字赋能条块治理转向AI赋能整体智治，应用场景从增量扩张转向提质增效，数智赋能党建、政务、经济、社会、文化、法治建设体系化推进，数字重庆建设拥有扎实基础和良好机遇。同时仍面临数智技术原始创新有待提高、数字经济产业能级仍需提升、数智人才供给不足、超大城市治理复杂性与日俱增、城乡及区域间数字鸿沟尚存等挑战，必须进一步强化统筹，巩固拓展优势、破除瓶颈制约、补强短板弱项，推进数字重庆建设整体跃升</w:t>
      </w:r>
      <w:bookmarkEnd w:id="20"/>
      <w:bookmarkStart w:id="22" w:name="_Toc223610165"/>
      <w:bookmarkStart w:id="23" w:name="_Toc1706373406"/>
      <w:bookmarkStart w:id="24" w:name="_Toc220660275"/>
      <w:r>
        <w:rPr>
          <w:rFonts w:ascii="Times New Roman" w:hAnsi="Times New Roman"/>
          <w:color w:val="000000"/>
          <w:szCs w:val="32"/>
          <w:u w:val="none"/>
          <w:lang w:bidi="ar"/>
        </w:rPr>
        <w:t>。</w:t>
      </w:r>
    </w:p>
    <w:p>
      <w:pPr>
        <w:keepNext/>
        <w:keepLines/>
        <w:spacing w:line="560" w:lineRule="exact"/>
        <w:jc w:val="left"/>
        <w:outlineLvl w:val="0"/>
        <w:rPr>
          <w:rFonts w:ascii="Times New Roman" w:hAnsi="Times New Roman" w:eastAsia="方正黑体_GBK"/>
          <w:kern w:val="44"/>
          <w:szCs w:val="32"/>
          <w:u w:val="none"/>
        </w:rPr>
      </w:pPr>
      <w:bookmarkStart w:id="25" w:name="_Toc1071"/>
      <w:bookmarkStart w:id="26" w:name="_Toc229651112"/>
      <w:bookmarkStart w:id="27" w:name="_Toc227252598"/>
      <w:r>
        <w:rPr>
          <w:rFonts w:ascii="Times New Roman" w:hAnsi="Times New Roman" w:eastAsia="方正黑体_GBK"/>
          <w:kern w:val="44"/>
          <w:szCs w:val="32"/>
          <w:u w:val="none"/>
        </w:rPr>
        <w:t>二、总体要求</w:t>
      </w:r>
      <w:bookmarkEnd w:id="25"/>
      <w:bookmarkEnd w:id="26"/>
    </w:p>
    <w:p>
      <w:pPr>
        <w:keepNext/>
        <w:keepLines/>
        <w:suppressAutoHyphens/>
        <w:spacing w:line="560" w:lineRule="exact"/>
        <w:outlineLvl w:val="1"/>
        <w:rPr>
          <w:rFonts w:ascii="Times New Roman" w:hAnsi="Times New Roman" w:eastAsia="方正楷体_GBK"/>
          <w:bCs/>
          <w:szCs w:val="32"/>
          <w:u w:val="none"/>
        </w:rPr>
      </w:pPr>
      <w:bookmarkStart w:id="28" w:name="_Toc229651113"/>
      <w:bookmarkStart w:id="29" w:name="_Toc3009"/>
      <w:r>
        <w:rPr>
          <w:rFonts w:ascii="Times New Roman" w:hAnsi="Times New Roman" w:eastAsia="方正楷体_GBK"/>
          <w:bCs/>
          <w:szCs w:val="32"/>
          <w:u w:val="none"/>
        </w:rPr>
        <w:t>（一）指导思想</w:t>
      </w:r>
      <w:bookmarkEnd w:id="28"/>
      <w:bookmarkEnd w:id="29"/>
    </w:p>
    <w:p>
      <w:pPr>
        <w:suppressAutoHyphens/>
        <w:topLinePunct/>
        <w:adjustRightInd w:val="0"/>
        <w:snapToGrid w:val="0"/>
        <w:spacing w:line="560" w:lineRule="exact"/>
        <w:rPr>
          <w:rFonts w:ascii="Times New Roman" w:hAnsi="Times New Roman"/>
          <w:color w:val="000000"/>
          <w:szCs w:val="32"/>
          <w:u w:val="none"/>
          <w:lang w:bidi="ar"/>
        </w:rPr>
      </w:pPr>
      <w:r>
        <w:rPr>
          <w:rFonts w:ascii="Times New Roman" w:hAnsi="Times New Roman"/>
          <w:color w:val="000000"/>
          <w:szCs w:val="32"/>
          <w:u w:val="none"/>
          <w:lang w:bidi="ar"/>
        </w:rPr>
        <w:t>坚持以习近平新时代中国特色社会主义思想为指导，深入贯彻党的二十大和二十届历次全会精神，深入落实习近平总书记视察重庆重要讲话重要指示精神，以积极探索超大城市现代化治理新路子为使命，以数智化变革推动重庆迈向现代化为主题，以满足人民日益增长的美好生活需要为根本目的，以数字中国建设综合试点为抓手，坚持数智赋能和深化改革“双轮驱动”，加快数字重庆体系能力建设</w:t>
      </w:r>
      <w:r>
        <w:rPr>
          <w:rFonts w:ascii="Times New Roman" w:hAnsi="Times New Roman"/>
          <w:u w:val="none"/>
          <w:lang w:bidi="ar"/>
        </w:rPr>
        <w:t>，激发技术与产业创新活力，释放数据要素价值，</w:t>
      </w:r>
      <w:r>
        <w:rPr>
          <w:rFonts w:ascii="Times New Roman" w:hAnsi="Times New Roman"/>
          <w:color w:val="000000"/>
          <w:szCs w:val="32"/>
          <w:u w:val="none"/>
          <w:lang w:bidi="ar"/>
        </w:rPr>
        <w:t>拓展数智开放合作空间，建设数智人才高地，着力打造超大城市现代化治理示范区，打造引领数字文明新时代的市域范例，为谱写中国式现代化的重庆篇章注入强劲数智动能。</w:t>
      </w:r>
    </w:p>
    <w:p>
      <w:pPr>
        <w:keepNext/>
        <w:keepLines/>
        <w:suppressAutoHyphens/>
        <w:spacing w:line="560" w:lineRule="exact"/>
        <w:outlineLvl w:val="1"/>
        <w:rPr>
          <w:rFonts w:ascii="Times New Roman" w:hAnsi="Times New Roman" w:eastAsia="方正楷体_GBK"/>
          <w:szCs w:val="32"/>
          <w:u w:val="none"/>
        </w:rPr>
      </w:pPr>
      <w:bookmarkStart w:id="30" w:name="_Toc229651114"/>
      <w:bookmarkStart w:id="31" w:name="_Toc19227"/>
      <w:r>
        <w:rPr>
          <w:rFonts w:ascii="Times New Roman" w:hAnsi="Times New Roman" w:eastAsia="方正楷体_GBK"/>
          <w:bCs/>
          <w:szCs w:val="32"/>
          <w:u w:val="none"/>
        </w:rPr>
        <w:t>（二）基本原则</w:t>
      </w:r>
      <w:bookmarkEnd w:id="30"/>
      <w:bookmarkEnd w:id="31"/>
    </w:p>
    <w:p>
      <w:pPr>
        <w:spacing w:line="560" w:lineRule="exact"/>
        <w:ind w:firstLineChars="0"/>
        <w:rPr>
          <w:rFonts w:ascii="Times New Roman" w:hAnsi="Times New Roman"/>
          <w:color w:val="000000"/>
          <w:szCs w:val="32"/>
          <w:u w:val="none"/>
        </w:rPr>
      </w:pPr>
      <w:bookmarkStart w:id="32" w:name="OLE_LINK9"/>
      <w:r>
        <w:rPr>
          <w:rFonts w:ascii="Times New Roman" w:hAnsi="Times New Roman"/>
          <w:b/>
          <w:bCs/>
          <w:color w:val="000000"/>
          <w:szCs w:val="32"/>
          <w:u w:val="none"/>
        </w:rPr>
        <w:t>——坚持党建统领、整体智治。</w:t>
      </w:r>
      <w:r>
        <w:rPr>
          <w:rFonts w:ascii="Times New Roman" w:hAnsi="Times New Roman"/>
          <w:color w:val="000000"/>
          <w:szCs w:val="32"/>
          <w:u w:val="none"/>
        </w:rPr>
        <w:t>坚持把党的领导贯穿数字重庆建设全过程，确保党总揽全局、协调各方的领导核心作用。强化整体协同与智能治理，以数字化手段提升决策科学化、治理精准化、服务高效化水平，实现党建统领下整体智治的有机统一。</w:t>
      </w:r>
    </w:p>
    <w:p>
      <w:pPr>
        <w:spacing w:line="560" w:lineRule="exact"/>
        <w:ind w:firstLineChars="0"/>
        <w:rPr>
          <w:rFonts w:ascii="Times New Roman" w:hAnsi="Times New Roman"/>
          <w:color w:val="000000"/>
          <w:szCs w:val="32"/>
          <w:u w:val="none"/>
        </w:rPr>
      </w:pPr>
      <w:r>
        <w:rPr>
          <w:rFonts w:ascii="Times New Roman" w:hAnsi="Times New Roman"/>
          <w:b/>
          <w:bCs/>
          <w:color w:val="000000"/>
          <w:szCs w:val="32"/>
          <w:u w:val="none"/>
        </w:rPr>
        <w:t>——坚持惠民利企、共建共享。</w:t>
      </w:r>
      <w:r>
        <w:rPr>
          <w:rFonts w:ascii="Times New Roman" w:hAnsi="Times New Roman"/>
          <w:color w:val="000000"/>
          <w:szCs w:val="32"/>
          <w:u w:val="none"/>
        </w:rPr>
        <w:t>坚持践行以人民为中心的发展思想，全面推动惠民利企服务数智化升级，健全多元参与机制，引导市场主体、社会组织、市民群众共同投身数字重庆建设，构建“政府引导、社会协同、全民参与”的共建格局，推动数智成果全民共享。</w:t>
      </w:r>
    </w:p>
    <w:p>
      <w:pPr>
        <w:spacing w:line="560" w:lineRule="exact"/>
        <w:ind w:firstLineChars="0"/>
        <w:rPr>
          <w:rFonts w:ascii="Times New Roman" w:hAnsi="Times New Roman"/>
          <w:color w:val="000000"/>
          <w:szCs w:val="32"/>
          <w:u w:val="none"/>
        </w:rPr>
      </w:pPr>
      <w:r>
        <w:rPr>
          <w:rFonts w:ascii="Times New Roman" w:hAnsi="Times New Roman"/>
          <w:b/>
          <w:bCs/>
          <w:color w:val="000000"/>
          <w:szCs w:val="32"/>
          <w:u w:val="none"/>
        </w:rPr>
        <w:t>——坚持需求牵引、改革创新。</w:t>
      </w:r>
      <w:r>
        <w:rPr>
          <w:rFonts w:ascii="Times New Roman" w:hAnsi="Times New Roman"/>
          <w:color w:val="000000"/>
          <w:szCs w:val="32"/>
          <w:u w:val="none"/>
        </w:rPr>
        <w:t>坚持围绕经济社会发展现实需求与共性问题，聚焦探索数智赋能超大城市治理新范式，明确改革任务和攻坚方向，统筹政府和市场双向发力，推进首创性、差异性改革创新，实现数字重庆建设引领、撬动、赋能各领域深化改革。</w:t>
      </w:r>
    </w:p>
    <w:p>
      <w:pPr>
        <w:spacing w:line="560" w:lineRule="exact"/>
        <w:ind w:firstLineChars="0"/>
        <w:rPr>
          <w:rFonts w:ascii="Times New Roman" w:hAnsi="Times New Roman"/>
          <w:color w:val="000000"/>
          <w:szCs w:val="32"/>
          <w:u w:val="none"/>
        </w:rPr>
      </w:pPr>
      <w:r>
        <w:rPr>
          <w:rFonts w:ascii="Times New Roman" w:hAnsi="Times New Roman"/>
          <w:b/>
          <w:bCs/>
          <w:color w:val="000000"/>
          <w:szCs w:val="32"/>
          <w:u w:val="none"/>
        </w:rPr>
        <w:t>——坚持系统推进、实战实效。</w:t>
      </w:r>
      <w:r>
        <w:rPr>
          <w:rFonts w:ascii="Times New Roman" w:hAnsi="Times New Roman"/>
          <w:color w:val="000000"/>
          <w:szCs w:val="32"/>
          <w:u w:val="none"/>
        </w:rPr>
        <w:t>坚持系统思维，强化整体统筹与体系集成，协同推进数字重庆“1361”各领域建设，坚持实战实效导向，推动建设成果管用、好用、实用，切实提升市域治理体系和治理能力现代化水平。</w:t>
      </w:r>
      <w:bookmarkEnd w:id="32"/>
    </w:p>
    <w:p>
      <w:pPr>
        <w:keepNext/>
        <w:keepLines/>
        <w:suppressAutoHyphens/>
        <w:spacing w:line="560" w:lineRule="exact"/>
        <w:outlineLvl w:val="1"/>
        <w:rPr>
          <w:rFonts w:ascii="Times New Roman" w:hAnsi="Times New Roman" w:eastAsia="方正楷体_GBK"/>
          <w:bCs/>
          <w:szCs w:val="32"/>
          <w:u w:val="none"/>
        </w:rPr>
      </w:pPr>
      <w:bookmarkStart w:id="33" w:name="_Toc229651115"/>
      <w:bookmarkStart w:id="34" w:name="_Toc5132"/>
      <w:r>
        <w:rPr>
          <w:rFonts w:ascii="Times New Roman" w:hAnsi="Times New Roman" w:eastAsia="方正楷体_GBK"/>
          <w:bCs/>
          <w:szCs w:val="32"/>
          <w:u w:val="none"/>
        </w:rPr>
        <w:t>（三）主要目标</w:t>
      </w:r>
      <w:bookmarkEnd w:id="33"/>
      <w:bookmarkEnd w:id="34"/>
    </w:p>
    <w:p>
      <w:pPr>
        <w:spacing w:line="560" w:lineRule="exact"/>
        <w:rPr>
          <w:rFonts w:ascii="Times New Roman" w:hAnsi="Times New Roman"/>
          <w:color w:val="000000"/>
          <w:szCs w:val="32"/>
          <w:u w:val="none"/>
        </w:rPr>
      </w:pPr>
      <w:r>
        <w:rPr>
          <w:rFonts w:ascii="Times New Roman" w:hAnsi="Times New Roman"/>
          <w:color w:val="000000"/>
          <w:szCs w:val="32"/>
          <w:u w:val="none"/>
        </w:rPr>
        <w:t>到2030年，数字重庆体系能力全面深化，人工智能与数字重庆双向赋能成效显著，数智技术深度融入超大城市发展服务安全治理各领域，推动城市全域数字化转型迈上新台阶，形成一批全国进位、西部领先、具有重庆辨识度的标志性成果，</w:t>
      </w:r>
      <w:r>
        <w:rPr>
          <w:rFonts w:ascii="Times New Roman" w:hAnsi="Times New Roman"/>
          <w:u w:val="none"/>
        </w:rPr>
        <w:t>助力打造具有全国影响力和美誉度的超大城市现代化治理示范区，全面形成</w:t>
      </w:r>
      <w:r>
        <w:rPr>
          <w:rFonts w:ascii="Times New Roman" w:hAnsi="Times New Roman"/>
          <w:color w:val="000000"/>
          <w:szCs w:val="32"/>
          <w:u w:val="none"/>
          <w:lang w:bidi="ar"/>
        </w:rPr>
        <w:t>引领数字文明新时代的市域范例</w:t>
      </w:r>
      <w:r>
        <w:rPr>
          <w:rFonts w:ascii="Times New Roman" w:hAnsi="Times New Roman"/>
          <w:color w:val="000000"/>
          <w:szCs w:val="32"/>
          <w:u w:val="none"/>
        </w:rPr>
        <w:t>。</w:t>
      </w:r>
    </w:p>
    <w:p>
      <w:pPr>
        <w:spacing w:line="560" w:lineRule="exact"/>
        <w:rPr>
          <w:rFonts w:ascii="Times New Roman" w:hAnsi="Times New Roman"/>
          <w:color w:val="000000"/>
          <w:szCs w:val="32"/>
          <w:u w:val="none"/>
        </w:rPr>
      </w:pPr>
      <w:r>
        <w:rPr>
          <w:rFonts w:ascii="Times New Roman" w:hAnsi="Times New Roman"/>
          <w:color w:val="000000"/>
          <w:szCs w:val="32"/>
          <w:u w:val="none"/>
        </w:rPr>
        <w:t>——</w:t>
      </w:r>
      <w:bookmarkStart w:id="35" w:name="OLE_LINK11"/>
      <w:r>
        <w:rPr>
          <w:rFonts w:ascii="Times New Roman" w:hAnsi="Times New Roman"/>
          <w:b/>
          <w:bCs/>
          <w:color w:val="000000"/>
          <w:szCs w:val="32"/>
          <w:u w:val="none"/>
        </w:rPr>
        <w:t>率先</w:t>
      </w:r>
      <w:bookmarkEnd w:id="35"/>
      <w:r>
        <w:rPr>
          <w:rFonts w:ascii="Times New Roman" w:hAnsi="Times New Roman"/>
          <w:b/>
          <w:bCs/>
          <w:color w:val="000000"/>
          <w:szCs w:val="32"/>
          <w:u w:val="none"/>
        </w:rPr>
        <w:t>建成全国超大城市数智治理标杆</w:t>
      </w:r>
      <w:r>
        <w:rPr>
          <w:rFonts w:ascii="Times New Roman" w:hAnsi="Times New Roman"/>
          <w:color w:val="000000"/>
          <w:szCs w:val="32"/>
          <w:u w:val="none"/>
        </w:rPr>
        <w:t>。全面建成数字重庆体系能力，建成全国领先的省域统一数智底座，数据资源产品服务极大丰富，“大综合一体化”城市综合治理体制机制迭代完善，党建统领、经济发展、设施运行、社会治理、应急动员、文明创建、生态景观、生产生活服务八大板块协同履职体系能力迈上新台阶，基层干部数智化履职能力全面增强，态势全面感知、趋势智能研判、处置协同高效、调度敏捷响应、平急快速转换的本质安全新体系全面构建，人工智能赋能超大城市现代化治理形成典型示范。</w:t>
      </w:r>
    </w:p>
    <w:p>
      <w:pPr>
        <w:spacing w:line="560" w:lineRule="exact"/>
        <w:ind w:firstLine="645" w:firstLineChars="0"/>
        <w:rPr>
          <w:rFonts w:ascii="Times New Roman" w:hAnsi="Times New Roman"/>
          <w:color w:val="000000"/>
          <w:szCs w:val="32"/>
          <w:u w:val="none"/>
        </w:rPr>
      </w:pPr>
      <w:r>
        <w:rPr>
          <w:rFonts w:ascii="Times New Roman" w:hAnsi="Times New Roman"/>
          <w:color w:val="000000"/>
          <w:szCs w:val="32"/>
          <w:u w:val="none"/>
        </w:rPr>
        <w:t>——</w:t>
      </w:r>
      <w:r>
        <w:rPr>
          <w:rFonts w:ascii="Times New Roman" w:hAnsi="Times New Roman"/>
          <w:b/>
          <w:bCs/>
          <w:color w:val="000000"/>
          <w:szCs w:val="32"/>
          <w:u w:val="none"/>
        </w:rPr>
        <w:t>率先打造国家人工智能创新应用高地</w:t>
      </w:r>
      <w:r>
        <w:rPr>
          <w:rFonts w:ascii="Times New Roman" w:hAnsi="Times New Roman"/>
          <w:color w:val="000000"/>
          <w:szCs w:val="32"/>
          <w:u w:val="none"/>
        </w:rPr>
        <w:t>。数字重庆和人工智能双向赋能效应充分释放，人工智能关键核心技术取得重大突破，产业集聚水平大幅提升，算力算法数据支撑有力有效，全国进位、西部领先、重庆辨识度的人工智能应用高地基本建成。</w:t>
      </w:r>
    </w:p>
    <w:p>
      <w:pPr>
        <w:spacing w:line="560" w:lineRule="exact"/>
        <w:ind w:firstLine="645" w:firstLineChars="0"/>
        <w:rPr>
          <w:rFonts w:ascii="Times New Roman" w:hAnsi="Times New Roman"/>
          <w:color w:val="000000"/>
          <w:szCs w:val="32"/>
          <w:u w:val="none"/>
        </w:rPr>
      </w:pPr>
      <w:r>
        <w:rPr>
          <w:rFonts w:ascii="Times New Roman" w:hAnsi="Times New Roman"/>
          <w:color w:val="000000"/>
          <w:szCs w:val="32"/>
          <w:u w:val="none"/>
        </w:rPr>
        <w:t>——</w:t>
      </w:r>
      <w:r>
        <w:rPr>
          <w:rFonts w:ascii="Times New Roman" w:hAnsi="Times New Roman"/>
          <w:b/>
          <w:bCs/>
          <w:color w:val="000000"/>
          <w:szCs w:val="32"/>
          <w:u w:val="none"/>
        </w:rPr>
        <w:t>率先打造全国先进产业集群体系。</w:t>
      </w:r>
      <w:r>
        <w:rPr>
          <w:rFonts w:ascii="Times New Roman" w:hAnsi="Times New Roman"/>
          <w:color w:val="000000"/>
          <w:szCs w:val="32"/>
          <w:u w:val="none"/>
        </w:rPr>
        <w:t>打造具有国际竞争力的数字产业集群体系，全面推进农业、工业、服务业数智化升级，构建开放创新的数字经济发展生态，培育一批全国知名的数字经济创新型企业，建成西部领先</w:t>
      </w:r>
      <w:r>
        <w:rPr>
          <w:rFonts w:hint="eastAsia" w:ascii="Times New Roman" w:hAnsi="Times New Roman"/>
          <w:color w:val="000000"/>
          <w:szCs w:val="32"/>
          <w:u w:val="none"/>
        </w:rPr>
        <w:t>的</w:t>
      </w:r>
      <w:r>
        <w:rPr>
          <w:rFonts w:ascii="Times New Roman" w:hAnsi="Times New Roman"/>
          <w:color w:val="000000"/>
          <w:szCs w:val="32"/>
          <w:u w:val="none"/>
        </w:rPr>
        <w:t>数字经济发展高地，数字经济核心产业增加值占GDP比重超过全国平均水平。</w:t>
      </w:r>
    </w:p>
    <w:p>
      <w:pPr>
        <w:spacing w:line="560" w:lineRule="exact"/>
        <w:rPr>
          <w:rFonts w:ascii="Times New Roman" w:hAnsi="Times New Roman"/>
          <w:color w:val="000000"/>
          <w:szCs w:val="32"/>
          <w:u w:val="none"/>
        </w:rPr>
      </w:pPr>
      <w:r>
        <w:rPr>
          <w:rFonts w:ascii="Times New Roman" w:hAnsi="Times New Roman"/>
          <w:color w:val="000000"/>
          <w:szCs w:val="32"/>
          <w:u w:val="none"/>
        </w:rPr>
        <w:t>——</w:t>
      </w:r>
      <w:r>
        <w:rPr>
          <w:rFonts w:ascii="Times New Roman" w:hAnsi="Times New Roman"/>
          <w:b/>
          <w:bCs/>
          <w:color w:val="000000"/>
          <w:szCs w:val="32"/>
          <w:u w:val="none"/>
        </w:rPr>
        <w:t>率先打造全国数据要素市场高地</w:t>
      </w:r>
      <w:r>
        <w:rPr>
          <w:rFonts w:ascii="Times New Roman" w:hAnsi="Times New Roman"/>
          <w:color w:val="000000"/>
          <w:szCs w:val="32"/>
          <w:u w:val="none"/>
        </w:rPr>
        <w:t>。数据产权、流通交易、收益分配、安全治理等基础制度体系全面建立，高质量数据集和可信数据空间规模化应用，数据产业全链条布局完成，数据产品和服务供给能力显著提升，数据产权证书规模化发放，建成数据产业综合服务平台和若干行业数据产业示范服务平台，数据要素市场综合竞争力全国领先。</w:t>
      </w:r>
    </w:p>
    <w:p>
      <w:pPr>
        <w:spacing w:line="560" w:lineRule="exact"/>
        <w:rPr>
          <w:rFonts w:ascii="Times New Roman" w:hAnsi="Times New Roman"/>
          <w:color w:val="000000"/>
          <w:szCs w:val="32"/>
          <w:u w:val="none"/>
        </w:rPr>
      </w:pPr>
      <w:r>
        <w:rPr>
          <w:rFonts w:ascii="Times New Roman" w:hAnsi="Times New Roman"/>
          <w:color w:val="000000"/>
          <w:szCs w:val="32"/>
          <w:u w:val="none"/>
        </w:rPr>
        <w:t>——</w:t>
      </w:r>
      <w:bookmarkStart w:id="36" w:name="OLE_LINK19"/>
      <w:r>
        <w:rPr>
          <w:rFonts w:ascii="Times New Roman" w:hAnsi="Times New Roman"/>
          <w:b/>
          <w:bCs/>
          <w:color w:val="000000"/>
          <w:szCs w:val="32"/>
          <w:u w:val="none"/>
        </w:rPr>
        <w:t>率先打造全国一流数智</w:t>
      </w:r>
      <w:bookmarkEnd w:id="36"/>
      <w:r>
        <w:rPr>
          <w:rFonts w:ascii="Times New Roman" w:hAnsi="Times New Roman"/>
          <w:b/>
          <w:bCs/>
          <w:color w:val="000000"/>
          <w:szCs w:val="32"/>
          <w:u w:val="none"/>
        </w:rPr>
        <w:t>开放合作枢纽。</w:t>
      </w:r>
      <w:r>
        <w:rPr>
          <w:rFonts w:ascii="Times New Roman" w:hAnsi="Times New Roman"/>
          <w:color w:val="000000"/>
          <w:szCs w:val="32"/>
          <w:u w:val="none"/>
        </w:rPr>
        <w:t>数字陆海新通道建设取得重大突破，成渝数字协同发展机制全面健全，长江经济带数字协同管理成效显著，中新数智合作深度拓展，数智赋能“一带一路”建设提质升级，形成一批全国示范性制度创新成果，数字贸易进出口额年均增速高于全市外贸整体水平。</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5496"/>
        <w:gridCol w:w="918"/>
        <w:gridCol w:w="1070"/>
        <w:gridCol w:w="1377"/>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000" w:type="pct"/>
            <w:gridSpan w:val="4"/>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8"/>
                <w:szCs w:val="28"/>
                <w:u w:val="none"/>
              </w:rPr>
            </w:pPr>
            <w:r>
              <w:rPr>
                <w:rFonts w:ascii="Times New Roman" w:hAnsi="Times New Roman" w:eastAsia="方正黑体_GBK"/>
                <w:color w:val="000000"/>
                <w:kern w:val="0"/>
                <w:sz w:val="28"/>
                <w:szCs w:val="28"/>
                <w:u w:val="none"/>
              </w:rPr>
              <w:t>“十五五”数字重庆建设主要指标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jc w:val="center"/>
              <w:textAlignment w:val="baseline"/>
              <w:rPr>
                <w:rFonts w:ascii="Times New Roman" w:hAnsi="Times New Roman" w:eastAsia="方正黑体_GBK"/>
                <w:color w:val="000000"/>
                <w:kern w:val="0"/>
                <w:sz w:val="21"/>
                <w:szCs w:val="21"/>
                <w:u w:val="none"/>
              </w:rPr>
            </w:pPr>
            <w:r>
              <w:rPr>
                <w:rFonts w:ascii="Times New Roman" w:hAnsi="Times New Roman" w:eastAsia="方正黑体_GBK"/>
                <w:color w:val="000000"/>
                <w:kern w:val="0"/>
                <w:sz w:val="21"/>
                <w:szCs w:val="21"/>
                <w:u w:val="none"/>
              </w:rPr>
              <w:t>指标名称</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方正黑体_GBK"/>
                <w:color w:val="000000"/>
                <w:kern w:val="0"/>
                <w:sz w:val="21"/>
                <w:szCs w:val="21"/>
                <w:u w:val="none"/>
              </w:rPr>
              <w:t>2025年</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方正黑体_GBK"/>
                <w:color w:val="000000"/>
                <w:kern w:val="0"/>
                <w:sz w:val="21"/>
                <w:szCs w:val="21"/>
                <w:u w:val="none"/>
              </w:rPr>
              <w:t>2030年</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方正黑体_GBK"/>
                <w:color w:val="000000"/>
                <w:kern w:val="0"/>
                <w:sz w:val="21"/>
                <w:szCs w:val="21"/>
                <w:u w:val="none"/>
              </w:rPr>
              <w:t>属性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1.数字经济核心产业增加值占地区生产总值比重（%）</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10</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13</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2.国家级数字产业集群（个）</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2</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5</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3.引育数字经济创新型企业数量（个）</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2000</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4.数据产业规模年均复合增长率（%）</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20</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方正黑体_GBK"/>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5.可调度智算规模（PFLOPS）</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3万</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15万</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6具有全国影响力的垂类大模型（个）</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1</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20</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7.AI+综合场景累计数量（个）</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30</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200</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8.数据共享需求满足率（%）</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95</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97</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9.感知资源在线率（%）</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80</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90</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约束性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10.水电气讯路桥隧轨数字化管理率（%）</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70</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92</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11.区县治理中心实战活跃度</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96</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99</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预期性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12.“八张报表”自动归集率（%）</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70</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95</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约束性</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3101"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13.政务服务事项</w:t>
            </w:r>
            <w:r>
              <w:rPr>
                <w:rFonts w:ascii="Times New Roman" w:hAnsi="Times New Roman" w:eastAsia="宋体"/>
                <w:color w:val="000000"/>
                <w:kern w:val="0"/>
                <w:sz w:val="21"/>
                <w:szCs w:val="21"/>
                <w:u w:val="none"/>
                <w:lang w:eastAsia="zh"/>
              </w:rPr>
              <w:t>全面通办比例</w:t>
            </w:r>
            <w:r>
              <w:rPr>
                <w:rFonts w:ascii="Times New Roman" w:hAnsi="Times New Roman" w:eastAsia="宋体"/>
                <w:color w:val="000000"/>
                <w:kern w:val="0"/>
                <w:sz w:val="21"/>
                <w:szCs w:val="21"/>
                <w:u w:val="none"/>
              </w:rPr>
              <w:t>（%）</w:t>
            </w:r>
          </w:p>
        </w:tc>
        <w:tc>
          <w:tcPr>
            <w:tcW w:w="518"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199" w:firstLineChars="95"/>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w:t>
            </w:r>
          </w:p>
        </w:tc>
        <w:tc>
          <w:tcPr>
            <w:tcW w:w="604"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420"/>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95</w:t>
            </w:r>
          </w:p>
        </w:tc>
        <w:tc>
          <w:tcPr>
            <w:tcW w:w="777" w:type="pct"/>
            <w:shd w:val="clear" w:color="auto" w:fill="CCECFF"/>
            <w:noWrap w:val="0"/>
            <w:tcMar>
              <w:top w:w="0" w:type="dxa"/>
              <w:left w:w="0" w:type="dxa"/>
              <w:bottom w:w="0" w:type="dxa"/>
              <w:right w:w="0" w:type="dxa"/>
            </w:tcMar>
            <w:vAlign w:val="center"/>
          </w:tcPr>
          <w:p>
            <w:pPr>
              <w:widowControl/>
              <w:adjustRightInd w:val="0"/>
              <w:snapToGrid w:val="0"/>
              <w:spacing w:line="560" w:lineRule="exact"/>
              <w:ind w:firstLine="0" w:firstLineChars="0"/>
              <w:jc w:val="center"/>
              <w:textAlignment w:val="baseline"/>
              <w:rPr>
                <w:rFonts w:ascii="Times New Roman" w:hAnsi="Times New Roman" w:eastAsia="宋体"/>
                <w:color w:val="000000"/>
                <w:kern w:val="0"/>
                <w:sz w:val="21"/>
                <w:szCs w:val="21"/>
                <w:u w:val="none"/>
              </w:rPr>
            </w:pPr>
            <w:r>
              <w:rPr>
                <w:rFonts w:ascii="Times New Roman" w:hAnsi="Times New Roman" w:eastAsia="宋体"/>
                <w:color w:val="000000"/>
                <w:kern w:val="0"/>
                <w:sz w:val="21"/>
                <w:szCs w:val="21"/>
                <w:u w:val="none"/>
              </w:rPr>
              <w:t>预期性</w:t>
            </w:r>
          </w:p>
        </w:tc>
      </w:tr>
      <w:bookmarkEnd w:id="22"/>
      <w:bookmarkEnd w:id="23"/>
      <w:bookmarkEnd w:id="24"/>
      <w:bookmarkEnd w:id="27"/>
    </w:tbl>
    <w:p>
      <w:pPr>
        <w:keepNext/>
        <w:keepLines/>
        <w:spacing w:line="560" w:lineRule="exact"/>
        <w:jc w:val="left"/>
        <w:outlineLvl w:val="0"/>
        <w:rPr>
          <w:rFonts w:ascii="Times New Roman" w:hAnsi="Times New Roman" w:eastAsia="方正黑体_GBK"/>
          <w:kern w:val="44"/>
          <w:szCs w:val="32"/>
          <w:u w:val="none"/>
        </w:rPr>
      </w:pPr>
      <w:bookmarkStart w:id="37" w:name="_Toc229651116"/>
      <w:bookmarkStart w:id="38" w:name="_Toc227252602"/>
      <w:bookmarkStart w:id="39" w:name="_Toc18604"/>
      <w:bookmarkStart w:id="40" w:name="_Toc223610170"/>
      <w:bookmarkStart w:id="41" w:name="_Toc223512056"/>
      <w:r>
        <w:rPr>
          <w:rFonts w:ascii="Times New Roman" w:hAnsi="Times New Roman" w:eastAsia="方正黑体_GBK"/>
          <w:kern w:val="44"/>
          <w:szCs w:val="32"/>
          <w:u w:val="none"/>
        </w:rPr>
        <w:t>三、加快探索</w:t>
      </w:r>
      <w:r>
        <w:rPr>
          <w:rFonts w:hint="eastAsia" w:ascii="Times New Roman" w:hAnsi="Times New Roman" w:eastAsia="方正黑体_GBK"/>
          <w:kern w:val="44"/>
          <w:szCs w:val="32"/>
          <w:u w:val="none"/>
        </w:rPr>
        <w:t>数智赋能</w:t>
      </w:r>
      <w:r>
        <w:rPr>
          <w:rFonts w:ascii="Times New Roman" w:hAnsi="Times New Roman" w:eastAsia="方正黑体_GBK"/>
          <w:kern w:val="44"/>
          <w:szCs w:val="32"/>
          <w:u w:val="none"/>
        </w:rPr>
        <w:t>超大城市治理新范式</w:t>
      </w:r>
      <w:bookmarkEnd w:id="37"/>
    </w:p>
    <w:bookmarkEnd w:id="38"/>
    <w:bookmarkEnd w:id="39"/>
    <w:p>
      <w:pPr>
        <w:spacing w:line="560" w:lineRule="exact"/>
        <w:rPr>
          <w:rFonts w:ascii="Times New Roman" w:hAnsi="Times New Roman"/>
          <w:u w:val="none"/>
        </w:rPr>
      </w:pPr>
      <w:r>
        <w:rPr>
          <w:rFonts w:ascii="Times New Roman" w:hAnsi="Times New Roman"/>
          <w:szCs w:val="21"/>
          <w:u w:val="none"/>
        </w:rPr>
        <w:t>深化数字中国建设综合试点，全面深化数字重庆体系能力建设，数智赋能与“大综合一体化”城市综合治理机制体制“双轮驱动”，推动城市全域数字化转型，高水平建设创新、宜居、美丽、韧性、文明、智慧的现代化人民城市。</w:t>
      </w:r>
    </w:p>
    <w:p>
      <w:pPr>
        <w:keepNext/>
        <w:keepLines/>
        <w:suppressAutoHyphens/>
        <w:spacing w:line="560" w:lineRule="exact"/>
        <w:ind w:firstLineChars="0"/>
        <w:outlineLvl w:val="1"/>
        <w:rPr>
          <w:rFonts w:ascii="Times New Roman" w:hAnsi="Times New Roman" w:eastAsia="方正楷体_GBK"/>
          <w:bCs/>
          <w:szCs w:val="32"/>
          <w:u w:val="none"/>
        </w:rPr>
      </w:pPr>
      <w:bookmarkStart w:id="42" w:name="_Toc20254"/>
      <w:bookmarkStart w:id="43" w:name="_Toc227252603"/>
      <w:bookmarkStart w:id="44" w:name="_Toc229651117"/>
      <w:r>
        <w:rPr>
          <w:rFonts w:ascii="Times New Roman" w:hAnsi="Times New Roman" w:eastAsia="方正楷体_GBK"/>
          <w:bCs/>
          <w:szCs w:val="32"/>
          <w:u w:val="none"/>
        </w:rPr>
        <w:t>（一）</w:t>
      </w:r>
      <w:bookmarkEnd w:id="42"/>
      <w:bookmarkEnd w:id="43"/>
      <w:r>
        <w:rPr>
          <w:rFonts w:ascii="Times New Roman" w:hAnsi="Times New Roman" w:eastAsia="方正楷体_GBK"/>
          <w:bCs/>
          <w:szCs w:val="32"/>
          <w:u w:val="none"/>
        </w:rPr>
        <w:t>迭代全市统一数智底座</w:t>
      </w:r>
      <w:bookmarkEnd w:id="44"/>
    </w:p>
    <w:p>
      <w:pPr>
        <w:rPr>
          <w:rFonts w:ascii="Times New Roman" w:hAnsi="Times New Roman" w:eastAsia="方正楷体_GBK"/>
          <w:bCs/>
          <w:szCs w:val="32"/>
          <w:u w:val="none"/>
        </w:rPr>
      </w:pPr>
      <w:r>
        <w:rPr>
          <w:rFonts w:ascii="Times New Roman" w:hAnsi="Times New Roman"/>
          <w:u w:val="none"/>
        </w:rPr>
        <w:t>建强一体化智能化公共数据平台，统筹布局数字基础设施、数据资源、AI底座、“两端”入口及安全防护体系建设，夯实现代化新重庆数智底座。</w:t>
      </w:r>
    </w:p>
    <w:p>
      <w:pPr>
        <w:spacing w:line="560" w:lineRule="exact"/>
        <w:rPr>
          <w:rFonts w:ascii="Times New Roman" w:hAnsi="Times New Roman"/>
          <w:color w:val="000000"/>
          <w:kern w:val="0"/>
          <w:szCs w:val="32"/>
          <w:u w:val="none"/>
        </w:rPr>
      </w:pPr>
      <w:r>
        <w:rPr>
          <w:rFonts w:ascii="Times New Roman" w:hAnsi="Times New Roman" w:eastAsia="方正楷体_GBK"/>
          <w:bCs/>
          <w:szCs w:val="32"/>
          <w:u w:val="none"/>
        </w:rPr>
        <w:t>1.升级数字基础设施体系。</w:t>
      </w:r>
      <w:r>
        <w:rPr>
          <w:rFonts w:ascii="Times New Roman" w:hAnsi="Times New Roman"/>
          <w:color w:val="000000"/>
          <w:kern w:val="0"/>
          <w:szCs w:val="32"/>
          <w:u w:val="none"/>
        </w:rPr>
        <w:t>统筹布局感知、网络、算力、数据、低空等数字基础设施，构建“全域感知、高速互联、算力充沛、安全可信”的现代化数字底座。深化全域智能感知体系建设，实施感知资源补盲与智能化改造工程，推进公共设施数智化运营，迭代城市视觉大模型，实现城市运行态势智能感知预警。优化通信传输网络，规模部署</w:t>
      </w:r>
      <w:r>
        <w:rPr>
          <w:rFonts w:ascii="Times New Roman" w:hAnsi="Times New Roman"/>
          <w:u w:val="none"/>
        </w:rPr>
        <w:t>5G-A</w:t>
      </w:r>
      <w:r>
        <w:rPr>
          <w:rFonts w:ascii="Times New Roman" w:hAnsi="Times New Roman"/>
          <w:color w:val="000000"/>
          <w:kern w:val="0"/>
          <w:szCs w:val="32"/>
          <w:u w:val="none"/>
        </w:rPr>
        <w:t>与万兆光网，前瞻布局</w:t>
      </w:r>
      <w:r>
        <w:rPr>
          <w:rFonts w:ascii="Times New Roman" w:hAnsi="Times New Roman"/>
          <w:u w:val="none"/>
        </w:rPr>
        <w:t>6G</w:t>
      </w:r>
      <w:r>
        <w:rPr>
          <w:rFonts w:ascii="Times New Roman" w:hAnsi="Times New Roman"/>
          <w:color w:val="000000"/>
          <w:kern w:val="0"/>
          <w:szCs w:val="32"/>
          <w:u w:val="none"/>
        </w:rPr>
        <w:t>及卫星互联网，扩容骨干直联点，构建“双万兆+空天地一体”通信体系。强化算力供给，深化成渝国家算力枢纽建设，实施“疆算入渝”工程，迭代国家（西部）算力调度平台，推动算网算电融合与源网荷储一体化应用。统筹推进通用数据中心、智能计算中心、超级计算中心、边缘数据中心等算力基础设施建设。打造数据基础设施，加强可信数据空间建设，推动数据流通平台统一标准接入，建设国家区块链网络（西南）枢纽节点。建设低空智联基础设施，布局一体化低空智能网联系统，完善起降设施与飞行保障设施，构建低空智能测绘感知体系。</w:t>
      </w:r>
    </w:p>
    <w:tbl>
      <w:tblPr>
        <w:tblStyle w:val="6"/>
        <w:tblpPr w:leftFromText="180" w:rightFromText="180" w:vertAnchor="text" w:horzAnchor="page" w:tblpXSpec="center" w:tblpY="177"/>
        <w:tblOverlap w:val="never"/>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widowControl/>
              <w:overflowPunct w:val="0"/>
              <w:spacing w:line="588" w:lineRule="exact"/>
              <w:ind w:firstLine="643"/>
              <w:rPr>
                <w:rFonts w:ascii="Times New Roman" w:hAnsi="Times New Roman"/>
                <w:b/>
                <w:bCs/>
                <w:u w:val="none"/>
              </w:rPr>
            </w:pPr>
            <w:bookmarkStart w:id="45" w:name="_Toc227252604"/>
            <w:bookmarkStart w:id="46" w:name="_Toc5830"/>
            <w:r>
              <w:rPr>
                <w:rFonts w:ascii="Times New Roman" w:hAnsi="Times New Roman" w:eastAsia="方正楷体_GBK"/>
                <w:b/>
                <w:bCs/>
                <w:u w:val="none"/>
              </w:rPr>
              <w:t>专题1：“疆算入渝”工程</w:t>
            </w:r>
            <w:r>
              <w:rPr>
                <w:rFonts w:ascii="Times New Roman" w:hAnsi="Times New Roman"/>
                <w:b/>
                <w:bCs/>
                <w:u w:val="none"/>
              </w:rPr>
              <w:t>。</w:t>
            </w:r>
            <w:r>
              <w:rPr>
                <w:rFonts w:ascii="Times New Roman" w:hAnsi="Times New Roman"/>
                <w:u w:val="none"/>
              </w:rPr>
              <w:t>加快实施中国移动-阿里云智算中心等重点算力设施项目，建设万卡级超大规模智算集群，扩大算力资源共享范围，加强跨域算力资源联动，支持西部算力调度平台与国内算力调度平台互联互通，加快形成区域协同算力服务能力。</w:t>
            </w:r>
          </w:p>
          <w:p>
            <w:pPr>
              <w:widowControl/>
              <w:overflowPunct w:val="0"/>
              <w:spacing w:line="588" w:lineRule="exact"/>
              <w:ind w:firstLine="643"/>
              <w:rPr>
                <w:rFonts w:ascii="Times New Roman" w:hAnsi="Times New Roman"/>
                <w:bCs/>
                <w:szCs w:val="32"/>
                <w:u w:val="none"/>
              </w:rPr>
            </w:pPr>
            <w:r>
              <w:rPr>
                <w:rFonts w:ascii="Times New Roman" w:hAnsi="Times New Roman" w:eastAsia="方正楷体_GBK"/>
                <w:b/>
                <w:bCs/>
                <w:u w:val="none"/>
              </w:rPr>
              <w:t>专题2：重点行业可信数据空间。</w:t>
            </w:r>
            <w:r>
              <w:rPr>
                <w:rFonts w:ascii="Times New Roman" w:hAnsi="Times New Roman"/>
                <w:u w:val="none"/>
              </w:rPr>
              <w:t>加快汽车、摩托车、医疗、医保、人力资源、物流、文旅、畜禽等重点行业的可信数据空间建设，促进重点产业数据开发利用，培育共建共治共享的数据流通协同生态。</w:t>
            </w:r>
          </w:p>
        </w:tc>
      </w:tr>
      <w:bookmarkEnd w:id="45"/>
      <w:bookmarkEnd w:id="46"/>
    </w:tbl>
    <w:p>
      <w:pPr>
        <w:spacing w:line="560" w:lineRule="exact"/>
        <w:rPr>
          <w:rFonts w:ascii="Times New Roman" w:hAnsi="Times New Roman"/>
          <w:szCs w:val="21"/>
          <w:u w:val="none"/>
        </w:rPr>
      </w:pPr>
      <w:r>
        <w:rPr>
          <w:rFonts w:ascii="Times New Roman" w:hAnsi="Times New Roman" w:eastAsia="方正楷体_GBK"/>
          <w:bCs/>
          <w:szCs w:val="32"/>
          <w:u w:val="none"/>
        </w:rPr>
        <w:t>2.建优高质量数据资源体系。</w:t>
      </w:r>
      <w:r>
        <w:rPr>
          <w:rFonts w:ascii="Times New Roman" w:hAnsi="Times New Roman"/>
          <w:szCs w:val="21"/>
          <w:u w:val="none"/>
        </w:rPr>
        <w:t>统筹推进数据治理增效、数据供给提质、数据集建设提速，加快构建数据编目、归集治理、融合分析、共享开放、供需对接等全生命周期一体化管理的公共数据资源体系，建成西部领先的数据资源赋能高地。探索构建智能质检的能力矩阵，建强全市公共数据底座，提升公共数据资源高质量供给能力。深化数据资源“一本账”管理，推动公共数据规范编目、按需归集、充分回流、最大共享。纵深推进六大基础数据库建设，强化基础数据融合治理，提升六大基础数据库综合服务能力。统筹推进重点领域专题数据库建设，优先开放生活服务、生态环境、交通运输、气象服务等公共数据。优化数据质量管理机制，压实数源部门责任，健全数据质量常态化监测、问题溯源的闭环处理机制，实现质量问题在源头和共享环节同步解决，全面提升全市数据资源标准化、规范化、精细化、智能化治理水平。系统推进数据回流基层，强化镇街数据回流需求精准梳理，推动数据从向上集中转变为向下赋能，有效打通市、区县、镇街三级数据共享通道，实现数据供给提质、回流效能提升。</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cBorders>
            <w:noWrap w:val="0"/>
            <w:vAlign w:val="top"/>
          </w:tcPr>
          <w:p>
            <w:pPr>
              <w:widowControl/>
              <w:spacing w:line="580" w:lineRule="exact"/>
              <w:ind w:firstLine="643"/>
              <w:rPr>
                <w:rFonts w:ascii="Times New Roman" w:hAnsi="Times New Roman"/>
                <w:color w:val="171A1D"/>
                <w:szCs w:val="32"/>
                <w:u w:val="none"/>
                <w:shd w:val="clear" w:color="auto" w:fill="FFFFFF"/>
                <w:lang w:bidi="ar"/>
              </w:rPr>
            </w:pPr>
            <w:r>
              <w:rPr>
                <w:rFonts w:ascii="Times New Roman" w:hAnsi="Times New Roman" w:eastAsia="方正楷体_GBK"/>
                <w:b/>
                <w:bCs/>
                <w:u w:val="none"/>
              </w:rPr>
              <w:t>专题3：基础库和专题库建设</w:t>
            </w:r>
            <w:r>
              <w:rPr>
                <w:rFonts w:ascii="Times New Roman" w:hAnsi="Times New Roman"/>
                <w:b/>
                <w:bCs/>
                <w:u w:val="none"/>
              </w:rPr>
              <w:t>。</w:t>
            </w:r>
            <w:r>
              <w:rPr>
                <w:rFonts w:ascii="Times New Roman" w:hAnsi="Times New Roman"/>
                <w:u w:val="none"/>
              </w:rPr>
              <w:t>迭代升级自然人、法人、电子证照、信用、自然资源和空间地理、时空</w:t>
            </w:r>
            <w:r>
              <w:rPr>
                <w:rFonts w:ascii="Times New Roman" w:hAnsi="Times New Roman"/>
                <w:u w:val="none"/>
                <w:lang w:bidi="ar"/>
              </w:rPr>
              <w:t>六大基础数据库，强化数据融合治理，</w:t>
            </w:r>
            <w:r>
              <w:rPr>
                <w:rFonts w:ascii="Times New Roman" w:hAnsi="Times New Roman"/>
                <w:u w:val="none"/>
              </w:rPr>
              <w:t>提升基础库赋能应用场景质效</w:t>
            </w:r>
            <w:r>
              <w:rPr>
                <w:rFonts w:ascii="Times New Roman" w:hAnsi="Times New Roman"/>
                <w:u w:val="none"/>
                <w:lang w:bidi="ar"/>
              </w:rPr>
              <w:t>。加快建设一人一档、一企一档、“三医”协同、高楼消防、交通运输、数字管线、危岩地灾、</w:t>
            </w:r>
            <w:r>
              <w:rPr>
                <w:rFonts w:hint="eastAsia"/>
              </w:rPr>
              <w:t>渝档智汇</w:t>
            </w:r>
            <w:r>
              <w:rPr>
                <w:rFonts w:hint="eastAsia"/>
                <w:lang w:eastAsia="zh-CN"/>
              </w:rPr>
              <w:t>、</w:t>
            </w:r>
            <w:r>
              <w:rPr>
                <w:rFonts w:ascii="Times New Roman" w:hAnsi="Times New Roman"/>
                <w:u w:val="none"/>
                <w:lang w:bidi="ar"/>
              </w:rPr>
              <w:t>养老服务等特色专题数据库，强化重点领域赋能支撑。</w:t>
            </w:r>
          </w:p>
          <w:p>
            <w:pPr>
              <w:widowControl/>
              <w:spacing w:line="580" w:lineRule="exact"/>
              <w:ind w:firstLine="643"/>
              <w:rPr>
                <w:rFonts w:ascii="Times New Roman" w:hAnsi="Times New Roman"/>
                <w:color w:val="171A1D"/>
                <w:szCs w:val="32"/>
                <w:u w:val="none"/>
                <w:shd w:val="clear" w:color="auto" w:fill="FFFFFF"/>
                <w:lang w:bidi="ar"/>
              </w:rPr>
            </w:pPr>
            <w:r>
              <w:rPr>
                <w:rFonts w:ascii="Times New Roman" w:hAnsi="Times New Roman" w:eastAsia="方正楷体_GBK"/>
                <w:b/>
                <w:bCs/>
                <w:u w:val="none"/>
              </w:rPr>
              <w:t>专题4：重点领域数据归集治理</w:t>
            </w:r>
            <w:r>
              <w:rPr>
                <w:rFonts w:ascii="Times New Roman" w:hAnsi="Times New Roman"/>
                <w:u w:val="none"/>
                <w:lang w:bidi="ar"/>
              </w:rPr>
              <w:t>。推动政务服务、教育文化、医疗卫生、社保就业、城建住房、交通运输、生态环境、财税金融、工业农业等重点领域数据归集治理，实现超大城市发展服务安全治理重点领域数据</w:t>
            </w:r>
            <w:r>
              <w:rPr>
                <w:rFonts w:ascii="Times New Roman" w:hAnsi="Times New Roman"/>
                <w:u w:val="none"/>
                <w:lang w:eastAsia="zh" w:bidi="ar"/>
              </w:rPr>
              <w:t>量</w:t>
            </w:r>
            <w:r>
              <w:rPr>
                <w:rFonts w:ascii="Times New Roman" w:hAnsi="Times New Roman"/>
                <w:u w:val="none"/>
                <w:lang w:bidi="ar"/>
              </w:rPr>
              <w:t>质提升。</w:t>
            </w:r>
          </w:p>
        </w:tc>
      </w:tr>
    </w:tbl>
    <w:p>
      <w:pPr>
        <w:spacing w:line="560" w:lineRule="exact"/>
        <w:rPr>
          <w:rFonts w:ascii="Times New Roman" w:hAnsi="Times New Roman" w:eastAsia="方正楷体_GBK"/>
          <w:szCs w:val="32"/>
          <w:u w:val="none"/>
        </w:rPr>
      </w:pPr>
      <w:bookmarkStart w:id="47" w:name="_Toc5895"/>
      <w:r>
        <w:rPr>
          <w:rFonts w:ascii="Times New Roman" w:hAnsi="Times New Roman" w:eastAsia="方正楷体_GBK"/>
          <w:szCs w:val="32"/>
          <w:u w:val="none"/>
        </w:rPr>
        <w:t>3.</w:t>
      </w:r>
      <w:bookmarkEnd w:id="47"/>
      <w:r>
        <w:rPr>
          <w:rFonts w:ascii="Times New Roman" w:hAnsi="Times New Roman" w:eastAsia="方正楷体_GBK"/>
          <w:szCs w:val="32"/>
          <w:u w:val="none"/>
        </w:rPr>
        <w:t>建设城市数字孪生体系。</w:t>
      </w:r>
      <w:r>
        <w:rPr>
          <w:rFonts w:ascii="Times New Roman" w:hAnsi="Times New Roman"/>
          <w:u w:val="none"/>
        </w:rPr>
        <w:t>强化全域空间资源统筹管理，提质建设高能级城市数字孪生体系，打造高能级城市孪生空间。升级全市统一的国土空间数据综合系统（GIS），强化多维度时空数据融合分析和要素检索，深化建设“多规合一”专题图，构建“挂图作战”智能体系。</w:t>
      </w:r>
      <w:r>
        <w:rPr>
          <w:rFonts w:ascii="Times New Roman" w:hAnsi="Times New Roman"/>
          <w:kern w:val="0"/>
          <w:szCs w:val="32"/>
          <w:u w:val="none"/>
        </w:rPr>
        <w:t>深化实景三维重庆建设，分级推进地形级、城市级、部件级实景三维覆盖，形成可量测、可计算的数字三维空间</w:t>
      </w:r>
      <w:r>
        <w:rPr>
          <w:rFonts w:hint="eastAsia" w:ascii="Times New Roman" w:hAnsi="Times New Roman"/>
          <w:kern w:val="0"/>
          <w:szCs w:val="32"/>
          <w:u w:val="none"/>
          <w:lang w:eastAsia="zh-CN"/>
        </w:rPr>
        <w:t>，构建超大城市实景图智能体，完成实景图底座与时空计算分析底座的双重升级</w:t>
      </w:r>
      <w:r>
        <w:rPr>
          <w:rFonts w:ascii="Times New Roman" w:hAnsi="Times New Roman"/>
          <w:kern w:val="0"/>
          <w:szCs w:val="32"/>
          <w:u w:val="none"/>
          <w:lang w:eastAsia="zh"/>
        </w:rPr>
        <w:t>。</w:t>
      </w:r>
      <w:r>
        <w:rPr>
          <w:rFonts w:ascii="Times New Roman" w:hAnsi="Times New Roman"/>
          <w:u w:val="none"/>
        </w:rPr>
        <w:t>深化城市信息模型CIM平台建设，加强BIM三维建模技术创新应用，集成资源调查、规划管控、工程建设、物联感知等海量城市数据，实现城市全要素数字化。建设空间大数据智能计算引擎，开发通用分析模型与服务组件，构建城市时空知识图谱，支撑复杂场景下的空间规律发现与决策赋能。</w:t>
      </w:r>
    </w:p>
    <w:p>
      <w:pPr>
        <w:spacing w:line="560" w:lineRule="exact"/>
        <w:rPr>
          <w:rFonts w:ascii="Times New Roman" w:hAnsi="Times New Roman" w:eastAsia="方正楷体_GBK"/>
          <w:szCs w:val="32"/>
          <w:u w:val="none"/>
        </w:rPr>
      </w:pPr>
      <w:r>
        <w:rPr>
          <w:rFonts w:ascii="Times New Roman" w:hAnsi="Times New Roman" w:eastAsia="方正楷体_GBK"/>
          <w:szCs w:val="32"/>
          <w:u w:val="none"/>
        </w:rPr>
        <w:t>4.构建智能灵活的能力组件体系。</w:t>
      </w:r>
      <w:r>
        <w:rPr>
          <w:rFonts w:ascii="Times New Roman" w:hAnsi="Times New Roman"/>
          <w:bCs/>
          <w:u w:val="none"/>
        </w:rPr>
        <w:t>围绕场景解决方案灵活构建需求，健全能力组件供需对接机制，构建全市统一、标准化、可复用的能力组件生态。强化能力组件供给，建设统一标准规范与集成编排平台，制定组件开发、接口、数据、安全等标准规范，推动能力组件式解耦改造与统一注册入库，完善编排工具支撑场景快速适配。建立统一封装、汇聚、评估、激励的全周期管理体系，常态化发布需求清单与复用激励机制，以场景成效、使用频率、满意度为核心指标评估组件价值，鼓励多元主体参与组件研发。</w:t>
      </w:r>
    </w:p>
    <w:p>
      <w:pPr>
        <w:spacing w:line="560" w:lineRule="exact"/>
        <w:rPr>
          <w:rFonts w:ascii="Times New Roman" w:hAnsi="Times New Roman" w:eastAsia="方正楷体_GBK"/>
          <w:szCs w:val="32"/>
          <w:u w:val="none"/>
        </w:rPr>
      </w:pPr>
      <w:r>
        <w:rPr>
          <w:rFonts w:ascii="Times New Roman" w:hAnsi="Times New Roman" w:eastAsia="方正楷体_GBK"/>
          <w:szCs w:val="32"/>
          <w:u w:val="none"/>
        </w:rPr>
        <w:t>5.优化全市统一人工智能底座。</w:t>
      </w:r>
      <w:r>
        <w:rPr>
          <w:rFonts w:ascii="Times New Roman" w:hAnsi="Times New Roman"/>
          <w:szCs w:val="21"/>
          <w:u w:val="none"/>
        </w:rPr>
        <w:t>迭代升级全市统一人工智能底座，构建集约高效、安全可控、开放共享的AI底座能力体系。坚持算力、模型、智能体一体化布局，强化统一纳管、调度、服务与保障，健全资源“一本账”管理和能力统筹供给机制，推动底座能力从通用供给向体系化、场景化、实战化支撑转变，对标前沿趋势建立持续迭代机制。加快构建多模态模型服务体系，强化通用智能能力供给，培育超大城市治理大模型及行业垂直模型，规范模型迭代管理。以场景为牵引，推动底座能力向城市治理、民生服务、产业发展等领域下沉，打造可复制可推广的应用模式。强化全过程安全保障，健全模型、内容、数据安全风险防控体系，完善闭环处置机制，全面提升AI底座安全稳定运行能力。</w:t>
      </w:r>
    </w:p>
    <w:p>
      <w:pPr>
        <w:spacing w:line="560" w:lineRule="exact"/>
        <w:rPr>
          <w:rFonts w:ascii="Times New Roman" w:hAnsi="Times New Roman"/>
          <w:szCs w:val="32"/>
          <w:u w:val="none"/>
          <w:lang w:bidi="ar"/>
        </w:rPr>
      </w:pPr>
      <w:r>
        <w:rPr>
          <w:rFonts w:ascii="Times New Roman" w:hAnsi="Times New Roman" w:eastAsia="方正楷体_GBK"/>
          <w:szCs w:val="32"/>
          <w:u w:val="none"/>
        </w:rPr>
        <w:t>6.深化智能体规范应用与创新发展。</w:t>
      </w:r>
      <w:r>
        <w:rPr>
          <w:rFonts w:ascii="Times New Roman" w:hAnsi="Times New Roman"/>
          <w:szCs w:val="32"/>
          <w:u w:val="none"/>
          <w:lang w:bidi="ar"/>
        </w:rPr>
        <w:t>坚持安全可控、规范有序、创新驱动、应用牵引的基本原则，积极推进智能体规范应用与创新发展。依托全市统一人工智能底座，加快研发感知、记忆、决策、交互、执行等关键组件，强化基础技术研发与工具链建设，推动通用模型与专用模型协同发展，</w:t>
      </w:r>
      <w:r>
        <w:rPr>
          <w:rFonts w:ascii="Times New Roman" w:hAnsi="Times New Roman"/>
          <w:szCs w:val="21"/>
          <w:u w:val="none"/>
        </w:rPr>
        <w:t>完善智能体开发接入体系。</w:t>
      </w:r>
      <w:r>
        <w:rPr>
          <w:rFonts w:ascii="Times New Roman" w:hAnsi="Times New Roman"/>
          <w:szCs w:val="32"/>
          <w:u w:val="none"/>
          <w:lang w:bidi="ar"/>
        </w:rPr>
        <w:t>促进智能体在各行业各领域的场景化、规模化应用，围绕科学研究、产业发展、提振消费、民生福祉、社会治理等领域打造典型应用场景。构建分级分类的治理体系，健全合规服务体系，提升全链条安全保障能力，促进智能体健康有序发展。</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3"/>
              <w:jc w:val="left"/>
              <w:rPr>
                <w:rFonts w:ascii="Times New Roman" w:hAnsi="Times New Roman"/>
                <w:szCs w:val="32"/>
                <w:u w:val="none"/>
              </w:rPr>
            </w:pPr>
            <w:r>
              <w:rPr>
                <w:rFonts w:ascii="Times New Roman" w:hAnsi="Times New Roman" w:eastAsia="方正楷体_GBK"/>
                <w:b/>
                <w:bCs/>
                <w:u w:val="none"/>
              </w:rPr>
              <w:t>专题5：共性支撑类智能体</w:t>
            </w:r>
            <w:r>
              <w:rPr>
                <w:rFonts w:ascii="Times New Roman" w:hAnsi="Times New Roman"/>
                <w:b/>
                <w:bCs/>
                <w:u w:val="none"/>
              </w:rPr>
              <w:t>。</w:t>
            </w:r>
            <w:r>
              <w:rPr>
                <w:rFonts w:ascii="Times New Roman" w:hAnsi="Times New Roman"/>
                <w:szCs w:val="32"/>
                <w:u w:val="none"/>
                <w:lang w:bidi="ar"/>
              </w:rPr>
              <w:t>迭代感知预警、复盘改进、决策分析、监督评价等智能体，持续优化智能体感知识别、分析研判、辅助决策、联动处置等能力，提升与业务系统、数据资源、工作流程的适配水平，形成“开发一个、复用一类、推广一片”的应用格局。</w:t>
            </w:r>
          </w:p>
          <w:p>
            <w:pPr>
              <w:spacing w:line="560" w:lineRule="exact"/>
              <w:ind w:firstLine="643"/>
              <w:jc w:val="left"/>
              <w:rPr>
                <w:rFonts w:ascii="Times New Roman" w:hAnsi="Times New Roman"/>
                <w:szCs w:val="32"/>
                <w:u w:val="none"/>
              </w:rPr>
            </w:pPr>
            <w:r>
              <w:rPr>
                <w:rFonts w:ascii="Times New Roman" w:hAnsi="Times New Roman" w:eastAsia="方正楷体_GBK"/>
                <w:b/>
                <w:bCs/>
                <w:u w:val="none"/>
              </w:rPr>
              <w:t>专题6：行业应用类智能体</w:t>
            </w:r>
            <w:r>
              <w:rPr>
                <w:rFonts w:ascii="Times New Roman" w:hAnsi="Times New Roman"/>
                <w:b/>
                <w:bCs/>
                <w:u w:val="none"/>
              </w:rPr>
              <w:t>。</w:t>
            </w:r>
            <w:r>
              <w:rPr>
                <w:rFonts w:ascii="Times New Roman" w:hAnsi="Times New Roman"/>
                <w:szCs w:val="32"/>
                <w:u w:val="none"/>
                <w:lang w:bidi="ar"/>
              </w:rPr>
              <w:t>面向应急管理、生态环保、交通运输、农业农村、医疗健康、市场监管等重点领域，分类建设专业化智能体，提升智能感知、智能审核、智能分析等能力，增强对行业治理和公共服务的支撑水平。</w:t>
            </w:r>
          </w:p>
        </w:tc>
      </w:tr>
    </w:tbl>
    <w:p>
      <w:pPr>
        <w:spacing w:line="560" w:lineRule="exact"/>
        <w:rPr>
          <w:rFonts w:ascii="Times New Roman" w:hAnsi="Times New Roman"/>
          <w:szCs w:val="21"/>
          <w:u w:val="none"/>
        </w:rPr>
      </w:pPr>
      <w:r>
        <w:rPr>
          <w:rFonts w:ascii="Times New Roman" w:hAnsi="Times New Roman" w:eastAsia="方正楷体_GBK"/>
          <w:bCs/>
          <w:szCs w:val="32"/>
          <w:u w:val="none"/>
        </w:rPr>
        <w:t>7.优化智能两端服务入口。</w:t>
      </w:r>
      <w:r>
        <w:rPr>
          <w:rFonts w:ascii="Times New Roman" w:hAnsi="Times New Roman"/>
          <w:szCs w:val="21"/>
          <w:u w:val="none"/>
        </w:rPr>
        <w:t>提升“渝快办”“渝快政”总入口集成融合能力，迭代完善统一组织架构、统一用户体系、统一身份认证、统一AI服务入口等功能，支撑“一网通办”“一网统管”全域协同。推动“渝快办”加快构建全面通办体系能力，深化政务服务事项线上全程网办、线下全域通办能力建设，迭代“高效办成一件事”服务场景，多维度集成全面通办服务场景，加快建设“全域无证明城市”，推动事项要素全集成、办事流程全闭环、服务场景全实战。提升</w:t>
      </w:r>
      <w:bookmarkStart w:id="48" w:name="OLE_LINK2"/>
      <w:r>
        <w:rPr>
          <w:rFonts w:ascii="Times New Roman" w:hAnsi="Times New Roman"/>
          <w:szCs w:val="21"/>
          <w:u w:val="none"/>
        </w:rPr>
        <w:t>“渝快政”</w:t>
      </w:r>
      <w:bookmarkEnd w:id="48"/>
      <w:r>
        <w:rPr>
          <w:rFonts w:ascii="Times New Roman" w:hAnsi="Times New Roman"/>
          <w:szCs w:val="21"/>
          <w:u w:val="none"/>
        </w:rPr>
        <w:t>赋能数字化履职能力，强化“组织在线”“沟通在线”“业务在线”，拓展用户覆盖面，建强数字工作台，优化“渝小智”功能，强化风险综合预警，高效赋能常态办公和应急调度。</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cBorders>
            <w:noWrap w:val="0"/>
            <w:vAlign w:val="top"/>
          </w:tcPr>
          <w:p>
            <w:pPr>
              <w:spacing w:line="588" w:lineRule="exact"/>
              <w:ind w:firstLine="643"/>
              <w:rPr>
                <w:rFonts w:ascii="Times New Roman" w:hAnsi="Times New Roman"/>
                <w:bCs/>
                <w:u w:val="none"/>
              </w:rPr>
            </w:pPr>
            <w:r>
              <w:rPr>
                <w:rFonts w:ascii="Times New Roman" w:hAnsi="Times New Roman" w:eastAsia="方正楷体_GBK"/>
                <w:b/>
                <w:bCs/>
                <w:u w:val="none"/>
              </w:rPr>
              <w:t>专题7：“高效办成一件事”。</w:t>
            </w:r>
            <w:r>
              <w:rPr>
                <w:rFonts w:ascii="Times New Roman" w:hAnsi="Times New Roman"/>
                <w:bCs/>
                <w:u w:val="none"/>
              </w:rPr>
              <w:t>聚焦企业和群众关切问题，谋划迭代育儿补贴申领、灵活就业参保、新房购置、开办养老机构、知识产权保护、新生儿出生、教育入学、开办企业等“一件事”，全面提升数字服务质效。</w:t>
            </w:r>
          </w:p>
        </w:tc>
      </w:tr>
    </w:tbl>
    <w:p>
      <w:pPr>
        <w:spacing w:line="560" w:lineRule="exact"/>
        <w:rPr>
          <w:rFonts w:ascii="Times New Roman" w:hAnsi="Times New Roman" w:eastAsia="方正黑体_GBK"/>
          <w:kern w:val="44"/>
          <w:szCs w:val="32"/>
          <w:u w:val="none"/>
        </w:rPr>
      </w:pPr>
      <w:r>
        <w:rPr>
          <w:rFonts w:ascii="Times New Roman" w:hAnsi="Times New Roman" w:eastAsia="方正楷体_GBK"/>
          <w:bCs/>
          <w:szCs w:val="32"/>
          <w:u w:val="none"/>
        </w:rPr>
        <w:t>8.筑牢一体化数字安全体系。</w:t>
      </w:r>
      <w:r>
        <w:rPr>
          <w:rFonts w:ascii="Times New Roman" w:hAnsi="Times New Roman"/>
          <w:szCs w:val="21"/>
          <w:u w:val="none"/>
        </w:rPr>
        <w:t>统筹防护能力与运营机制建设，构建覆盖关键领域、贯通数据流通全链条的一体化安全屏障。健全网络安全防护体系，完善网络分级分类安全监管机制，加固党政、通信、金融等关键行业防线。健全数据安全防护体系，打造一体化数据安全基础设施，构建覆盖“事前、事中、事后”全链条的数据安全机制，集中建设共性安全技术平台，整合安全数据、工具与运营流程，深化数字水印、数据指纹、区块链等技术在数据流通溯源中的应用，推动数据链路在可控环境中运行。健全统一安全运营体系，建立常态化、智能化安全运营机制，落实等级保护与数据分类分级制度，完善监测预警与安全审查机制，建成市、区两级联动的态势感知体系，增强智能分析与自动化响应能力，定期组织攻防演练。</w:t>
      </w:r>
      <w:bookmarkEnd w:id="40"/>
      <w:bookmarkEnd w:id="41"/>
      <w:bookmarkStart w:id="49" w:name="_Toc223609621"/>
      <w:bookmarkEnd w:id="49"/>
      <w:bookmarkStart w:id="50" w:name="_Toc223609563"/>
      <w:bookmarkEnd w:id="50"/>
      <w:bookmarkStart w:id="51" w:name="_Toc223609172"/>
      <w:bookmarkEnd w:id="51"/>
      <w:bookmarkStart w:id="52" w:name="_Toc223609477"/>
      <w:bookmarkEnd w:id="52"/>
      <w:bookmarkStart w:id="53" w:name="OLE_LINK8"/>
    </w:p>
    <w:p>
      <w:pPr>
        <w:keepNext/>
        <w:keepLines/>
        <w:suppressAutoHyphens/>
        <w:spacing w:line="560" w:lineRule="exact"/>
        <w:outlineLvl w:val="1"/>
        <w:rPr>
          <w:rFonts w:ascii="Times New Roman" w:hAnsi="Times New Roman" w:eastAsia="方正楷体_GBK"/>
          <w:bCs/>
          <w:szCs w:val="32"/>
          <w:u w:val="none"/>
        </w:rPr>
      </w:pPr>
      <w:bookmarkStart w:id="54" w:name="_Toc229651118"/>
      <w:r>
        <w:rPr>
          <w:rFonts w:ascii="Times New Roman" w:hAnsi="Times New Roman" w:eastAsia="方正楷体_GBK"/>
          <w:bCs/>
          <w:szCs w:val="32"/>
          <w:u w:val="none"/>
        </w:rPr>
        <w:t>（二）建设高能级数字化城市运行和治理中心</w:t>
      </w:r>
      <w:bookmarkEnd w:id="54"/>
    </w:p>
    <w:p>
      <w:pPr>
        <w:spacing w:line="560" w:lineRule="exact"/>
        <w:rPr>
          <w:rFonts w:ascii="Times New Roman" w:hAnsi="Times New Roman"/>
          <w:u w:val="none"/>
        </w:rPr>
      </w:pPr>
      <w:bookmarkStart w:id="55" w:name="_Toc227252610"/>
      <w:r>
        <w:rPr>
          <w:rFonts w:ascii="Times New Roman" w:hAnsi="Times New Roman"/>
          <w:u w:val="none"/>
        </w:rPr>
        <w:t>巩固拓展三级治理中心基本能力，探索建设体系能力，推动六大系统和八大板块协同联动，强化人工智能深度赋能，提升数智赋能超大城市发展服务安全治理能力。</w:t>
      </w:r>
    </w:p>
    <w:p>
      <w:pPr>
        <w:spacing w:line="560" w:lineRule="exact"/>
        <w:rPr>
          <w:rFonts w:ascii="Times New Roman" w:hAnsi="Times New Roman" w:eastAsia="方正楷体_GBK"/>
          <w:bCs/>
          <w:szCs w:val="32"/>
          <w:u w:val="none"/>
        </w:rPr>
      </w:pPr>
      <w:r>
        <w:rPr>
          <w:rFonts w:ascii="Times New Roman" w:hAnsi="Times New Roman" w:eastAsia="方正楷体_GBK"/>
          <w:u w:val="none"/>
        </w:rPr>
        <w:t>1.优化完善三级治理中心支撑体系</w:t>
      </w:r>
      <w:r>
        <w:rPr>
          <w:rFonts w:ascii="Times New Roman" w:hAnsi="Times New Roman"/>
          <w:u w:val="none"/>
        </w:rPr>
        <w:t>。构建系统集成、贯通部署、闭环处置、五级联动等数字赋能城市治理支撑体系，全面发挥三级治理中心主轴功能。深化八大板块跑道标准化建设，</w:t>
      </w:r>
      <w:r>
        <w:rPr>
          <w:rFonts w:ascii="Times New Roman" w:hAnsi="Times New Roman"/>
          <w:bCs/>
          <w:u w:val="none"/>
        </w:rPr>
        <w:t>集成感知、通信、指挥调度等数字资源，</w:t>
      </w:r>
      <w:r>
        <w:rPr>
          <w:rFonts w:ascii="Times New Roman" w:hAnsi="Times New Roman"/>
          <w:u w:val="none"/>
        </w:rPr>
        <w:t>建立KPI与体征指标双轨驱动体系，推进数字化履职活动全进跑道，</w:t>
      </w:r>
      <w:r>
        <w:rPr>
          <w:rFonts w:ascii="Times New Roman" w:hAnsi="Times New Roman"/>
          <w:bCs/>
          <w:u w:val="none"/>
        </w:rPr>
        <w:t>推动八大板块面向城市运行和治理现实需要综合集成六大系统数字化应用能力。</w:t>
      </w:r>
      <w:r>
        <w:rPr>
          <w:rFonts w:ascii="Times New Roman" w:hAnsi="Times New Roman"/>
          <w:u w:val="none"/>
        </w:rPr>
        <w:t>强化贯通部署能力，迭代任务中心、事件中心、智能分拨等核心组件，建立全域动态智能预案知识体系，推动跨部门事件统一受理、智能分拨、全程督办。健全闭环处置体系，推动AI与融合指挥深度融合，优化“全灾种、全覆盖、扁平化”融合通信体系，</w:t>
      </w:r>
      <w:r>
        <w:rPr>
          <w:rFonts w:ascii="Times New Roman" w:hAnsi="Times New Roman"/>
          <w:bCs/>
          <w:u w:val="none"/>
        </w:rPr>
        <w:t>集成视联网、“渝快政”等手段，完善平时、急时运转机制，推动值班、指挥、调度多中心一体重塑，</w:t>
      </w:r>
      <w:r>
        <w:rPr>
          <w:rFonts w:ascii="Times New Roman" w:hAnsi="Times New Roman"/>
          <w:u w:val="none"/>
        </w:rPr>
        <w:t>迭代监督评价、复盘改进等智能体。强化五级联动穿透，推动数据、资源、业务、场景五级贯通运行，建立覆盖五级的监督评价与履职考核机制。</w:t>
      </w:r>
      <w:bookmarkEnd w:id="55"/>
      <w:bookmarkStart w:id="56" w:name="_Toc227252611"/>
    </w:p>
    <w:p>
      <w:pPr>
        <w:spacing w:line="560" w:lineRule="exact"/>
        <w:rPr>
          <w:rFonts w:ascii="Times New Roman" w:hAnsi="Times New Roman"/>
          <w:u w:val="none"/>
        </w:rPr>
      </w:pPr>
      <w:r>
        <w:rPr>
          <w:rFonts w:ascii="Times New Roman" w:hAnsi="Times New Roman" w:eastAsia="方正楷体_GBK"/>
          <w:bCs/>
          <w:szCs w:val="32"/>
          <w:u w:val="none"/>
        </w:rPr>
        <w:t>2.加快集成党建统领整体智治支撑能力。</w:t>
      </w:r>
      <w:r>
        <w:rPr>
          <w:rFonts w:ascii="Times New Roman" w:hAnsi="Times New Roman"/>
          <w:u w:val="none"/>
        </w:rPr>
        <w:t>围绕政治统领，迭代构建“八张报表、八张问题清单、五项机制”党建统领整体智治新格局，持续提升“885”工作体系实战效能。围绕组织人才，迭代党组织建设、党员教育管理、干部队伍建设、人才服务和治理等领域多跨场景，重塑领导班子运行评估、党组织管理、人才治理等业务流程，实现红岩先锋型组织人才高效智管。围绕从严治党，构建整体智治、高效协同的政治生态分析研判机制，实现管党治党能力整体跃升。围绕社会工作，构建凝聚服务群众、党建引领基层治理和基层政权建设、新兴领域党的建设等特色化场景，实现社会工作全流程闭环管理。围绕群团建设，构建服务职工群众联系服务青年、联系服务妇女、科普公共服务、引领发展残疾人事业等数智化场景，实现群团组织线上线下服务深度融合。</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ind w:firstLine="643"/>
              <w:rPr>
                <w:rFonts w:ascii="Times New Roman" w:hAnsi="Times New Roman"/>
                <w:u w:val="none"/>
              </w:rPr>
            </w:pPr>
            <w:r>
              <w:rPr>
                <w:rFonts w:ascii="Times New Roman" w:hAnsi="Times New Roman" w:eastAsia="方正楷体_GBK"/>
                <w:b/>
                <w:bCs/>
                <w:u w:val="none"/>
              </w:rPr>
              <w:t>专题8：党建统领重点综合场景。</w:t>
            </w:r>
            <w:r>
              <w:rPr>
                <w:rFonts w:ascii="Times New Roman" w:hAnsi="Times New Roman"/>
                <w:u w:val="none"/>
              </w:rPr>
              <w:t>迭代打造软弱涣散基层党组织整顿、人才强园强企、全过程人民民主巴渝实践站、大型综合性公务活动数智服务保障、引领联系服务青年、数智社区等综合场景，推动数智赋能党的全面领导贯穿改革发展稳定各环节各方面。</w:t>
            </w:r>
          </w:p>
        </w:tc>
      </w:tr>
    </w:tbl>
    <w:p>
      <w:pPr>
        <w:suppressAutoHyphens/>
        <w:spacing w:line="560" w:lineRule="exact"/>
        <w:rPr>
          <w:rFonts w:ascii="Times New Roman" w:hAnsi="Times New Roman"/>
          <w:szCs w:val="32"/>
          <w:u w:val="none"/>
        </w:rPr>
      </w:pPr>
      <w:bookmarkStart w:id="57" w:name="_Toc32630"/>
      <w:r>
        <w:rPr>
          <w:rFonts w:ascii="Times New Roman" w:hAnsi="Times New Roman" w:eastAsia="方正楷体_GBK"/>
          <w:bCs/>
          <w:szCs w:val="32"/>
          <w:u w:val="none"/>
        </w:rPr>
        <w:t>3.</w:t>
      </w:r>
      <w:bookmarkEnd w:id="57"/>
      <w:r>
        <w:rPr>
          <w:rFonts w:ascii="Times New Roman" w:hAnsi="Times New Roman" w:eastAsia="方正楷体_GBK"/>
          <w:bCs/>
          <w:szCs w:val="32"/>
          <w:u w:val="none"/>
        </w:rPr>
        <w:t>加快集成高质量经济发展支撑能力。</w:t>
      </w:r>
      <w:r>
        <w:rPr>
          <w:rFonts w:ascii="Times New Roman" w:hAnsi="Times New Roman"/>
          <w:u w:val="none"/>
        </w:rPr>
        <w:t>围绕</w:t>
      </w:r>
      <w:r>
        <w:rPr>
          <w:rFonts w:ascii="Times New Roman" w:hAnsi="Times New Roman"/>
          <w:szCs w:val="32"/>
          <w:u w:val="none"/>
        </w:rPr>
        <w:t>经济调节，整合全市“四重”运行数据资源，实现经济运行态势精准研判、风险及早感知、调控科学有效。</w:t>
      </w:r>
      <w:r>
        <w:rPr>
          <w:rFonts w:ascii="Times New Roman" w:hAnsi="Times New Roman"/>
          <w:u w:val="none"/>
        </w:rPr>
        <w:t>围绕</w:t>
      </w:r>
      <w:r>
        <w:rPr>
          <w:rFonts w:ascii="Times New Roman" w:hAnsi="Times New Roman"/>
          <w:szCs w:val="32"/>
          <w:u w:val="none"/>
        </w:rPr>
        <w:t>“产业大脑+未来工厂”，聚焦“33618”现代制造业集群，强化“四侧”协同，促进“四链”融合，支持链主企业整合产业链上下游建设细分行业产业大脑，形成“产业大脑+未来工厂”融合发展新模式。围绕企业培育，构建“一站式”企业服务矩阵，形成企呼我为、政企互动、一企一策的多跨协同工作体系，实现企业发展诉求智能匹配、惠企政策精准直达、诉求响应闭环高效。围绕转型升级，打造技改项目在线储备、审批一网办、需求精准匹配、节能降碳监测评价等场景，推动重点行业数字化、智能化、绿色化转型。围绕科技创新，整合高校、科研院所、企业等创新资源，构建技术攻关、成果转化等全链条服务体系，全面提升区域创新体系整体效能。</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ind w:firstLine="643"/>
              <w:rPr>
                <w:rFonts w:ascii="Times New Roman" w:hAnsi="Times New Roman"/>
                <w:u w:val="none"/>
              </w:rPr>
            </w:pPr>
            <w:r>
              <w:rPr>
                <w:rFonts w:ascii="Times New Roman" w:hAnsi="Times New Roman" w:eastAsia="方正楷体_GBK"/>
                <w:b/>
                <w:bCs/>
                <w:u w:val="none"/>
              </w:rPr>
              <w:t>专题9：经济发展重点综合场景。</w:t>
            </w:r>
            <w:r>
              <w:rPr>
                <w:rFonts w:ascii="Times New Roman" w:hAnsi="Times New Roman"/>
                <w:u w:val="none"/>
              </w:rPr>
              <w:t>迭代打造</w:t>
            </w:r>
            <w:r>
              <w:rPr>
                <w:rFonts w:ascii="Times New Roman" w:hAnsi="Times New Roman"/>
                <w:snapToGrid w:val="0"/>
                <w:color w:val="000000"/>
                <w:kern w:val="0"/>
                <w:szCs w:val="32"/>
                <w:u w:val="none"/>
              </w:rPr>
              <w:t>“AI+企业码上服务”、数字财政、国资穿透式智能监管体系、“产业大脑+未来工厂”</w:t>
            </w:r>
            <w:r>
              <w:rPr>
                <w:rFonts w:ascii="Times New Roman" w:hAnsi="Times New Roman"/>
                <w:u w:val="none"/>
              </w:rPr>
              <w:t>、全口径债务监管及风险智控、数字陆海新通道、低空空域智治等综合场景，推动数据贯通赋能生产、分配、流通、消费各环节。</w:t>
            </w:r>
          </w:p>
        </w:tc>
      </w:tr>
    </w:tbl>
    <w:p>
      <w:pPr>
        <w:spacing w:line="560" w:lineRule="exact"/>
        <w:rPr>
          <w:rFonts w:ascii="Times New Roman" w:hAnsi="Times New Roman"/>
          <w:u w:val="none"/>
        </w:rPr>
      </w:pPr>
      <w:r>
        <w:rPr>
          <w:rFonts w:ascii="Times New Roman" w:hAnsi="Times New Roman" w:eastAsia="方正楷体_GBK"/>
          <w:bCs/>
          <w:szCs w:val="32"/>
          <w:u w:val="none"/>
        </w:rPr>
        <w:t>4.加快集成设施高效安全运行支撑能力。</w:t>
      </w:r>
      <w:r>
        <w:rPr>
          <w:rFonts w:ascii="Times New Roman" w:hAnsi="Times New Roman"/>
          <w:u w:val="none"/>
        </w:rPr>
        <w:t>围绕交通领域，构建路网规划建设、交通运行管理、交通综合治理、公共交通服务等多跨场景，完善“检诊策治评”全流程数字化协同体系，实现对城市道路、桥梁、隧道、停车场点等交通设施运行情况的全面监测和高效管控。围绕管线管廊领域，构建智能监测、风险研判、预警响应、联动处置、运维管护等多跨场景，完善管线管廊全生命周期数字化安全管控体系，实现对供水、排水、燃气、电力、通信等管线及综合管廊运行风险的源头管控与本质安全提升。围绕园林绿化领域，构建动态监测、精准养护、生态评估、联动处置、智慧服务等多跨场景，完善园林绿化全周期数字化管养体系，实现对城市公园、古树名木、城市绿道、市街绿化等绿化资源的精准感知与品质提升。</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ind w:firstLine="643"/>
              <w:rPr>
                <w:rFonts w:ascii="Times New Roman" w:hAnsi="Times New Roman"/>
                <w:u w:val="none"/>
              </w:rPr>
            </w:pPr>
            <w:r>
              <w:rPr>
                <w:rFonts w:ascii="Times New Roman" w:hAnsi="Times New Roman" w:eastAsia="方正楷体_GBK"/>
                <w:b/>
                <w:bCs/>
                <w:u w:val="none"/>
              </w:rPr>
              <w:t>专题10：设施运行重点综合场景。</w:t>
            </w:r>
            <w:r>
              <w:rPr>
                <w:rFonts w:ascii="Times New Roman" w:hAnsi="Times New Roman"/>
                <w:u w:val="none"/>
              </w:rPr>
              <w:t>迭代打造交通缓堵促畅、管线智管、规建运治一体化、客运枢纽智治、</w:t>
            </w:r>
            <w:r>
              <w:rPr>
                <w:rFonts w:hint="eastAsia" w:ascii="Times New Roman" w:hAnsi="Times New Roman" w:eastAsia="方正仿宋_GBK" w:cs="Times New Roman"/>
                <w:sz w:val="32"/>
                <w:szCs w:val="32"/>
                <w:lang w:val="en-US" w:eastAsia="zh-CN"/>
              </w:rPr>
              <w:t>毗邻交叉区域协同智治</w:t>
            </w:r>
            <w:r>
              <w:rPr>
                <w:rFonts w:ascii="Times New Roman" w:hAnsi="Times New Roman"/>
                <w:u w:val="none"/>
              </w:rPr>
              <w:t>、城市治理立体巡查、江河全域智管等综合场景，提升设施运行安全保障水平。</w:t>
            </w:r>
          </w:p>
        </w:tc>
      </w:tr>
    </w:tbl>
    <w:p>
      <w:pPr>
        <w:pStyle w:val="3"/>
        <w:rPr>
          <w:rFonts w:ascii="Times New Roman" w:hAnsi="Times New Roman"/>
          <w:sz w:val="32"/>
          <w:u w:val="none"/>
        </w:rPr>
      </w:pPr>
      <w:r>
        <w:rPr>
          <w:rFonts w:ascii="Times New Roman" w:hAnsi="Times New Roman" w:eastAsia="方正楷体_GBK"/>
          <w:sz w:val="32"/>
          <w:u w:val="none"/>
        </w:rPr>
        <w:t>5.加快集成社会治理闭环管控支撑能力</w:t>
      </w:r>
      <w:r>
        <w:rPr>
          <w:rFonts w:ascii="Times New Roman" w:hAnsi="Times New Roman"/>
          <w:sz w:val="32"/>
          <w:u w:val="none"/>
        </w:rPr>
        <w:t>。围绕公共安全，强化涉稳风险数据、业务应用等集成，稳步推进风险落图、监测预警、协同处置等，深入打造全周期全链条风险闭环管控体系。围绕执法司法，全要素集成数据、全流程构建闭环管控体系、全场景推动应用拓展，持续提升执法司法工作数字化、规范化、协同化水平。围绕矛盾纠纷化解，加快风险数据归集，迭代升级应用场景功能，强化“AI+”数字赋能，完善考核评价体系，加快构建超大城市智慧解纷“大调解”能力体系。围绕普法服务，持续深入整合政法各单位服务资源，打造全业务、全时空的数字化普法服务体系，让群众便捷享受优质法治服务。围绕城市管理，持续以数智化赋能城市管理精细化、规范化，不断提升城市运行品质。围绕市场监管，依托数字化手段全面强化重点领域监管，全方位提升市场监管智能化、精准化、规范化效能。</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3"/>
              <w:jc w:val="left"/>
              <w:rPr>
                <w:rFonts w:ascii="Times New Roman" w:hAnsi="Times New Roman"/>
                <w:u w:val="none"/>
              </w:rPr>
            </w:pPr>
            <w:r>
              <w:rPr>
                <w:rFonts w:ascii="Times New Roman" w:hAnsi="Times New Roman" w:eastAsia="方正楷体_GBK"/>
                <w:b/>
                <w:bCs/>
                <w:u w:val="none"/>
              </w:rPr>
              <w:t>专题11：社会治理重点综合场景。</w:t>
            </w:r>
            <w:r>
              <w:rPr>
                <w:rFonts w:ascii="Times New Roman" w:hAnsi="Times New Roman"/>
                <w:u w:val="none"/>
              </w:rPr>
              <w:t>迭代打造餐饮食品安全智管、重大活动安全监管、政法一体化办案、平安重庆风险闭环管控、多元社会矛盾纠纷智慧化解、</w:t>
            </w:r>
            <w:r>
              <w:rPr>
                <w:rFonts w:ascii="Times New Roman" w:hAnsi="Times New Roman"/>
                <w:color w:val="000000"/>
                <w:szCs w:val="32"/>
                <w:u w:val="none"/>
                <w:lang w:bidi="ar"/>
              </w:rPr>
              <w:t>城智防·全民反诈一体化</w:t>
            </w:r>
            <w:r>
              <w:rPr>
                <w:rFonts w:ascii="Times New Roman" w:hAnsi="Times New Roman"/>
                <w:u w:val="none"/>
              </w:rPr>
              <w:t>、重点人员风险预警管控等综合场景，</w:t>
            </w:r>
            <w:r>
              <w:rPr>
                <w:rFonts w:ascii="Times New Roman" w:hAnsi="Times New Roman"/>
                <w:color w:val="000000"/>
                <w:szCs w:val="32"/>
                <w:u w:val="none"/>
                <w:lang w:bidi="ar"/>
              </w:rPr>
              <w:t>全面提升平安稳定风险闭环管控能力，深化数智赋能社会综合治理再上新台阶。</w:t>
            </w:r>
          </w:p>
        </w:tc>
      </w:tr>
    </w:tbl>
    <w:p>
      <w:pPr>
        <w:spacing w:line="560" w:lineRule="exact"/>
        <w:rPr>
          <w:rFonts w:ascii="Times New Roman" w:hAnsi="Times New Roman"/>
          <w:u w:val="none"/>
        </w:rPr>
      </w:pPr>
      <w:r>
        <w:rPr>
          <w:rFonts w:ascii="Times New Roman" w:hAnsi="Times New Roman" w:eastAsia="方正楷体_GBK"/>
          <w:bCs/>
          <w:szCs w:val="32"/>
          <w:u w:val="none"/>
        </w:rPr>
        <w:t>6.加快集成敏捷协同应急动员支撑能力。</w:t>
      </w:r>
      <w:r>
        <w:rPr>
          <w:rFonts w:ascii="Times New Roman" w:hAnsi="Times New Roman"/>
          <w:u w:val="none"/>
        </w:rPr>
        <w:t>围绕自然灾害防治，构建风险识别、研判、预警、响应、处置、解除等多跨场景，完善自然灾害防治全周期数字化预案体系，实现对危岩地灾、气象灾害、洪涝灾害、干旱灾害、森林火灾等风险隐患全面防控、高效管控。围绕安全生产监管，迭代风险隐患监测预警平台，全面提升危化品安全、建设安全、道路运输安全、“九小场所”、特种设备等领域风险隐患智能监管能力。围绕应急指挥救援，完善三级应急指挥体系和综合救援数字化工作机制，形成“监测预警—风险研判—应急叫应—避险转移”全链条能力。</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topLinePunct/>
              <w:adjustRightInd w:val="0"/>
              <w:snapToGrid w:val="0"/>
              <w:spacing w:line="600" w:lineRule="exact"/>
              <w:ind w:firstLine="643"/>
              <w:rPr>
                <w:rFonts w:ascii="Times New Roman" w:hAnsi="Times New Roman"/>
                <w:u w:val="none"/>
              </w:rPr>
            </w:pPr>
            <w:r>
              <w:rPr>
                <w:rFonts w:ascii="Times New Roman" w:hAnsi="Times New Roman" w:eastAsia="方正楷体_GBK"/>
                <w:b/>
                <w:bCs/>
                <w:u w:val="none"/>
              </w:rPr>
              <w:t>专题12：应急动员重点综合场景。</w:t>
            </w:r>
            <w:r>
              <w:rPr>
                <w:rFonts w:ascii="Times New Roman" w:hAnsi="Times New Roman"/>
                <w:u w:val="none"/>
              </w:rPr>
              <w:t>迭代高层建筑消防安全治理、</w:t>
            </w:r>
            <w:r>
              <w:rPr>
                <w:rFonts w:ascii="Times New Roman" w:hAnsi="Times New Roman"/>
                <w:color w:val="000000"/>
                <w:szCs w:val="32"/>
                <w:u w:val="none"/>
                <w:lang w:bidi="ar"/>
              </w:rPr>
              <w:t>自然灾害防灾减灾救灾</w:t>
            </w:r>
            <w:r>
              <w:rPr>
                <w:rFonts w:ascii="Times New Roman" w:hAnsi="Times New Roman"/>
                <w:u w:val="none"/>
              </w:rPr>
              <w:t>、C4ISR数字化透明战场、</w:t>
            </w:r>
            <w:r>
              <w:rPr>
                <w:rFonts w:ascii="Times New Roman" w:hAnsi="Times New Roman"/>
                <w:color w:val="000000"/>
                <w:szCs w:val="32"/>
                <w:u w:val="none"/>
                <w:lang w:bidi="ar"/>
              </w:rPr>
              <w:t>安全生产智管</w:t>
            </w:r>
            <w:r>
              <w:rPr>
                <w:rFonts w:ascii="Times New Roman" w:hAnsi="Times New Roman"/>
                <w:u w:val="none"/>
              </w:rPr>
              <w:t>等综合场景，</w:t>
            </w:r>
            <w:r>
              <w:rPr>
                <w:rFonts w:ascii="Times New Roman" w:hAnsi="Times New Roman"/>
                <w:color w:val="000000"/>
                <w:szCs w:val="32"/>
                <w:u w:val="none"/>
                <w:lang w:bidi="ar"/>
              </w:rPr>
              <w:t>全面提升风险感知敏锐度、应急处置迅捷度、资源调配精准度，助力加快构建具有重庆辨识度的全灾种、大安全应急管理体系。</w:t>
            </w:r>
          </w:p>
        </w:tc>
      </w:tr>
    </w:tbl>
    <w:p>
      <w:pPr>
        <w:spacing w:line="560" w:lineRule="exact"/>
        <w:rPr>
          <w:rFonts w:ascii="Times New Roman" w:hAnsi="Times New Roman"/>
          <w:u w:val="none"/>
        </w:rPr>
      </w:pPr>
      <w:bookmarkStart w:id="58" w:name="_Toc13231"/>
      <w:r>
        <w:rPr>
          <w:rFonts w:ascii="Times New Roman" w:hAnsi="Times New Roman" w:eastAsia="方正楷体_GBK"/>
          <w:bCs/>
          <w:szCs w:val="32"/>
          <w:u w:val="none"/>
        </w:rPr>
        <w:t>7.</w:t>
      </w:r>
      <w:bookmarkEnd w:id="58"/>
      <w:r>
        <w:rPr>
          <w:rFonts w:ascii="Times New Roman" w:hAnsi="Times New Roman" w:eastAsia="方正楷体_GBK"/>
          <w:bCs/>
          <w:szCs w:val="32"/>
          <w:u w:val="none"/>
        </w:rPr>
        <w:t>加快集成全域赋能文明创建支撑能力。</w:t>
      </w:r>
      <w:r>
        <w:rPr>
          <w:rFonts w:ascii="Times New Roman" w:hAnsi="Times New Roman"/>
          <w:u w:val="none"/>
        </w:rPr>
        <w:t>围绕舆论生态，健全重大舆情联动处置闭环体系，完善全网感知、精准研判、快速响应的舆论引导与管控机制，整合主流媒体、政务新媒体、社交平台等多源信息，实现对敏感话题、苗头性倾向的智能预警和有效应对。围绕网络生态，健全网络综合治理工作格局，完善跨部门协同执法与平台责任落实机制，强化有害信息拦截与违法违规行为打击，实现网络空间持续清朗、网络秩序更加规范有序。围绕理论和意识形态，健全理论武装与意识形态风险防控体系，建强马克思主义理论研究和宣传阵地，打造融媒体理论传播矩阵。围绕文化生态，完善城乡一体的公共文化服务网络，推进巴渝文化、红色文化、三峡文化等特色资源数字化保护与活化利用，健全文艺精品创作引导与文旅融合发展机制，实现高品质文化供给精准触达、文化生态活力持续提升。</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ind w:firstLine="643"/>
              <w:rPr>
                <w:rFonts w:ascii="Times New Roman" w:hAnsi="Times New Roman"/>
                <w:u w:val="none"/>
              </w:rPr>
            </w:pPr>
            <w:r>
              <w:rPr>
                <w:rFonts w:ascii="Times New Roman" w:hAnsi="Times New Roman" w:eastAsia="方正楷体_GBK"/>
                <w:b/>
                <w:bCs/>
                <w:u w:val="none"/>
              </w:rPr>
              <w:t>专题13：文明创建重点综合场景。</w:t>
            </w:r>
            <w:r>
              <w:rPr>
                <w:rFonts w:ascii="Times New Roman" w:hAnsi="Times New Roman"/>
                <w:u w:val="none"/>
              </w:rPr>
              <w:t>迭代打造全媒体传播大脑、渝网智治、网络风险智控、智慧文旅等综合场景，全面提升舆论引导精准度、文化服务普惠度、文明素养浸润度，营造良好文化氛围。</w:t>
            </w:r>
          </w:p>
        </w:tc>
      </w:tr>
    </w:tbl>
    <w:p>
      <w:pPr>
        <w:spacing w:line="560" w:lineRule="exact"/>
        <w:rPr>
          <w:rFonts w:ascii="Times New Roman" w:hAnsi="Times New Roman"/>
          <w:u w:val="none"/>
        </w:rPr>
      </w:pPr>
      <w:r>
        <w:rPr>
          <w:rFonts w:ascii="Times New Roman" w:hAnsi="Times New Roman" w:eastAsia="方正楷体_GBK"/>
          <w:bCs/>
          <w:szCs w:val="32"/>
          <w:u w:val="none"/>
        </w:rPr>
        <w:t>8.加快集成生态景观防治协同支撑能力。</w:t>
      </w:r>
      <w:r>
        <w:rPr>
          <w:rFonts w:ascii="Times New Roman" w:hAnsi="Times New Roman"/>
          <w:u w:val="none"/>
        </w:rPr>
        <w:t>围绕空气环境治理，进一步完善大气在线监测感知网络，实现重点区域大气智能感知能力全覆盖。围绕水环境治理，完善水质预测预报等功能模块，推进多部门多领域协同联动，实现以“全量感知、预测预警、智能决策、系统治理、贯通实战、综合管控”六大重点能力为基础的治水体系与治水能力现代化水平全面提升。围绕固废与土壤环境治理，强化危险废物产、运、处相关数据归集，建立危险废物转移电子联单和危险货物电子运单协同运转机制，建立危险废物分级分类管理制度，推动市内危险废物闭环管理。</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ind w:firstLine="643"/>
              <w:rPr>
                <w:rFonts w:ascii="Times New Roman" w:hAnsi="Times New Roman"/>
                <w:u w:val="none"/>
              </w:rPr>
            </w:pPr>
            <w:r>
              <w:rPr>
                <w:rFonts w:ascii="Times New Roman" w:hAnsi="Times New Roman" w:eastAsia="方正楷体_GBK"/>
                <w:b/>
                <w:bCs/>
                <w:u w:val="none"/>
              </w:rPr>
              <w:t>专题14：生态景观重点综合场景。</w:t>
            </w:r>
            <w:r>
              <w:rPr>
                <w:rFonts w:ascii="Times New Roman" w:hAnsi="Times New Roman"/>
                <w:u w:val="none"/>
              </w:rPr>
              <w:t>优化升级污染防治攻坚战智管、中心城区“四山”管理、</w:t>
            </w:r>
            <w:r>
              <w:rPr>
                <w:rFonts w:ascii="Times New Roman" w:hAnsi="Times New Roman"/>
                <w:color w:val="000000"/>
                <w:szCs w:val="32"/>
                <w:u w:val="none"/>
                <w:lang w:bidi="ar"/>
              </w:rPr>
              <w:t>城市“规建运治”一体化</w:t>
            </w:r>
            <w:r>
              <w:rPr>
                <w:rFonts w:hint="eastAsia" w:ascii="Times New Roman" w:hAnsi="Times New Roman"/>
                <w:color w:val="000000"/>
                <w:szCs w:val="32"/>
                <w:u w:val="none"/>
                <w:lang w:eastAsia="zh-CN" w:bidi="ar"/>
              </w:rPr>
              <w:t>、</w:t>
            </w:r>
            <w:r>
              <w:rPr>
                <w:rFonts w:hint="eastAsia" w:ascii="Times New Roman" w:hAnsi="Times New Roman"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lang w:eastAsia="zh-CN"/>
              </w:rPr>
              <w:t>多规合一</w:t>
            </w:r>
            <w:r>
              <w:rPr>
                <w:rFonts w:hint="eastAsia" w:ascii="Times New Roman" w:hAnsi="Times New Roman"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lang w:eastAsia="zh-CN"/>
              </w:rPr>
              <w:t>协同智治</w:t>
            </w:r>
            <w:r>
              <w:rPr>
                <w:rFonts w:hint="eastAsia" w:ascii="Times New Roman" w:hAnsi="Times New Roman" w:cs="方正仿宋_GBK"/>
                <w:snapToGrid w:val="0"/>
                <w:color w:val="auto"/>
                <w:spacing w:val="0"/>
                <w:kern w:val="0"/>
                <w:sz w:val="32"/>
                <w:szCs w:val="32"/>
                <w:lang w:eastAsia="zh-CN"/>
              </w:rPr>
              <w:t>、</w:t>
            </w:r>
            <w:r>
              <w:rPr>
                <w:rFonts w:hint="eastAsia" w:ascii="Times New Roman" w:hAnsi="Times New Roman" w:eastAsia="方正仿宋_GBK" w:cs="方正仿宋_GBK"/>
                <w:snapToGrid w:val="0"/>
                <w:color w:val="auto"/>
                <w:spacing w:val="0"/>
                <w:kern w:val="0"/>
                <w:sz w:val="32"/>
                <w:szCs w:val="32"/>
                <w:lang w:val="en-US" w:eastAsia="zh-CN"/>
              </w:rPr>
              <w:t>自然资源综合智治</w:t>
            </w:r>
            <w:r>
              <w:rPr>
                <w:rFonts w:ascii="Times New Roman" w:hAnsi="Times New Roman"/>
                <w:u w:val="none"/>
              </w:rPr>
              <w:t>等综合场景，全面完成生态景观关联数字化应用及智能预案的综合集成，加快构建生态环境数字治理新形态。</w:t>
            </w:r>
          </w:p>
        </w:tc>
      </w:tr>
    </w:tbl>
    <w:p>
      <w:pPr>
        <w:spacing w:line="560" w:lineRule="exact"/>
        <w:rPr>
          <w:rFonts w:ascii="Times New Roman" w:hAnsi="Times New Roman"/>
          <w:u w:val="none"/>
        </w:rPr>
      </w:pPr>
      <w:r>
        <w:rPr>
          <w:rFonts w:ascii="Times New Roman" w:hAnsi="Times New Roman" w:eastAsia="方正楷体_GBK"/>
          <w:bCs/>
          <w:szCs w:val="32"/>
          <w:u w:val="none"/>
        </w:rPr>
        <w:t>9.加快集成高品质生产生活服务支撑能力。</w:t>
      </w:r>
      <w:r>
        <w:rPr>
          <w:rFonts w:ascii="Times New Roman" w:hAnsi="Times New Roman"/>
          <w:u w:val="none"/>
        </w:rPr>
        <w:t>围绕医疗领域，构建“智慧医疗”服务体系，推动电子健康档案、检查检验结果跨机构互认共享，完善分级诊疗与远程医疗协同机制，提升群众看病就医便捷度和获得感。围绕教育领域，构建线上线下融合的教学新模式，推进数字校园建设与优质数字教育资源全域覆盖，实现个性化学习精准推送和城乡教育均衡发展，促进教育质量整体提升。围绕就业领域，健全“智慧就业”服务支撑体系，构建精准匹配和动态监测机制，实现岗位信息智能推送、就业形势及时预警，助力实现更高质量充分就业。围绕养老领域，构建“智慧养老”服务网络，构建居家社区机构相协调、医养康养相结合的服务模式，打造老年人健康管理、安全监护、生活照料等智能化应用场景，实现养老服务资源精准对接和全流程可追溯监管。围绕餐饮领域，构建全链条食品安全数字化监管体系，完善餐饮单位风险分级管理和明厨亮灶工程，强化食材溯源与过程控制，实现食品安全风险实时预警与问题食材精准追溯。</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ind w:firstLine="643"/>
              <w:rPr>
                <w:rFonts w:ascii="Times New Roman" w:hAnsi="Times New Roman"/>
                <w:u w:val="none"/>
              </w:rPr>
            </w:pPr>
            <w:r>
              <w:rPr>
                <w:rFonts w:ascii="Times New Roman" w:hAnsi="Times New Roman" w:eastAsia="方正楷体_GBK"/>
                <w:b/>
                <w:bCs/>
                <w:u w:val="none"/>
              </w:rPr>
              <w:t>专题15：生产生活服务重点综合场景。</w:t>
            </w:r>
            <w:r>
              <w:rPr>
                <w:rFonts w:ascii="Times New Roman" w:hAnsi="Times New Roman"/>
                <w:u w:val="none"/>
              </w:rPr>
              <w:t>迭代打造15分钟高品质生活服务圈、“三医”协同、高质量就业综合智服、</w:t>
            </w:r>
            <w:r>
              <w:rPr>
                <w:rFonts w:hint="eastAsia" w:ascii="Times New Roman" w:hAnsi="Times New Roman"/>
                <w:u w:val="none"/>
              </w:rPr>
              <w:t>社保智慧管理</w:t>
            </w:r>
            <w:r>
              <w:rPr>
                <w:rFonts w:hint="eastAsia" w:ascii="Times New Roman" w:hAnsi="Times New Roman"/>
                <w:u w:val="none"/>
                <w:lang w:eastAsia="zh-CN"/>
              </w:rPr>
              <w:t>、</w:t>
            </w:r>
            <w:r>
              <w:rPr>
                <w:rFonts w:hint="eastAsia" w:ascii="Times New Roman" w:hAnsi="Times New Roman" w:eastAsia="方正仿宋_GBK" w:cs="方正仿宋_GBK"/>
                <w:sz w:val="32"/>
                <w:szCs w:val="32"/>
                <w:lang w:val="en-US" w:eastAsia="zh-CN"/>
              </w:rPr>
              <w:t>智慧养老院</w:t>
            </w:r>
            <w:r>
              <w:rPr>
                <w:rFonts w:ascii="Times New Roman" w:hAnsi="Times New Roman"/>
                <w:u w:val="none"/>
              </w:rPr>
              <w:t>、信用+超大城市治理、公租房“治、管、服”一体化、智慧校园等综合场景，</w:t>
            </w:r>
            <w:r>
              <w:rPr>
                <w:rFonts w:ascii="Times New Roman" w:hAnsi="Times New Roman"/>
                <w:color w:val="000000"/>
                <w:szCs w:val="32"/>
                <w:u w:val="none"/>
                <w:lang w:bidi="ar"/>
              </w:rPr>
              <w:t>助力提升服务供需匹配度、群众办事便捷度、生活体验满意度，更高水平实现公共服务均等化、品质化、数智化。</w:t>
            </w:r>
          </w:p>
        </w:tc>
      </w:tr>
    </w:tbl>
    <w:p>
      <w:pPr>
        <w:pStyle w:val="3"/>
        <w:rPr>
          <w:rFonts w:ascii="Times New Roman" w:hAnsi="Times New Roman"/>
          <w:sz w:val="32"/>
          <w:u w:val="none"/>
        </w:rPr>
      </w:pPr>
      <w:r>
        <w:rPr>
          <w:rFonts w:ascii="Times New Roman" w:hAnsi="Times New Roman" w:eastAsia="方正楷体_GBK"/>
          <w:sz w:val="32"/>
          <w:u w:val="none"/>
        </w:rPr>
        <w:t>10.全面提升中心城区一体化实战能力。</w:t>
      </w:r>
      <w:r>
        <w:rPr>
          <w:rFonts w:ascii="Times New Roman" w:hAnsi="Times New Roman"/>
          <w:sz w:val="32"/>
          <w:u w:val="none"/>
        </w:rPr>
        <w:t>聚焦跨区域协同履职需要，深化梳理一体化核心业务，优化打造高楼消防、工程渣土、燃气管线等重点领域中心城区一体化综合场景，完善综合场景一体部署、一体运行、一体演练、一体实战机制。建立健全中心城区突发事件应急快响、联席会商、预警预判、一体调度快速实战工作机制，高效支撑领导决策指挥调度。推行行政执法、缓堵促畅等城市治理重点业务一体化。</w:t>
      </w:r>
    </w:p>
    <w:bookmarkEnd w:id="53"/>
    <w:bookmarkEnd w:id="56"/>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ind w:firstLine="643"/>
              <w:rPr>
                <w:rFonts w:ascii="Times New Roman" w:hAnsi="Times New Roman"/>
                <w:u w:val="none"/>
              </w:rPr>
            </w:pPr>
            <w:bookmarkStart w:id="59" w:name="_Toc227252614"/>
            <w:bookmarkStart w:id="60" w:name="_Toc220660291"/>
            <w:bookmarkStart w:id="61" w:name="_Toc223610186"/>
            <w:r>
              <w:rPr>
                <w:rFonts w:ascii="Times New Roman" w:hAnsi="Times New Roman" w:eastAsia="方正楷体_GBK"/>
                <w:b/>
                <w:bCs/>
                <w:u w:val="none"/>
              </w:rPr>
              <w:t>专题16：中心城区一体化先行先试重点综合场景。</w:t>
            </w:r>
            <w:r>
              <w:rPr>
                <w:rFonts w:ascii="Times New Roman" w:hAnsi="Times New Roman"/>
                <w:u w:val="none"/>
              </w:rPr>
              <w:t>推动客运枢纽综合服务管理、城市内涝处置、商品交易市场安全监管、涉企“综合查一次”、养老院安全守护、毗邻交叉区域治理、非法金融活动治理、传染病社会共治等综合场景在中心城区先行试点，全面提升跨区域治理协同度，营造良好的一体化发展生态。</w:t>
            </w:r>
          </w:p>
        </w:tc>
      </w:tr>
    </w:tbl>
    <w:p>
      <w:pPr>
        <w:keepNext/>
        <w:keepLines/>
        <w:suppressAutoHyphens/>
        <w:spacing w:line="560" w:lineRule="exact"/>
        <w:outlineLvl w:val="1"/>
        <w:rPr>
          <w:rFonts w:ascii="Times New Roman" w:hAnsi="Times New Roman" w:eastAsia="方正楷体_GBK"/>
          <w:bCs/>
          <w:szCs w:val="32"/>
          <w:u w:val="none"/>
        </w:rPr>
      </w:pPr>
      <w:bookmarkStart w:id="62" w:name="_Toc229651119"/>
      <w:r>
        <w:rPr>
          <w:rFonts w:ascii="Times New Roman" w:hAnsi="Times New Roman" w:eastAsia="方正楷体_GBK"/>
          <w:bCs/>
          <w:szCs w:val="32"/>
          <w:u w:val="none"/>
        </w:rPr>
        <w:t>（三）提质六大应用系统建设</w:t>
      </w:r>
      <w:bookmarkEnd w:id="62"/>
    </w:p>
    <w:p>
      <w:pPr>
        <w:spacing w:line="560" w:lineRule="exact"/>
        <w:rPr>
          <w:rFonts w:ascii="Times New Roman" w:hAnsi="Times New Roman"/>
          <w:u w:val="none"/>
        </w:rPr>
      </w:pPr>
      <w:r>
        <w:rPr>
          <w:rFonts w:ascii="Times New Roman" w:hAnsi="Times New Roman"/>
          <w:u w:val="none"/>
        </w:rPr>
        <w:t>聚焦各领域各方面各层级核心业务数智化，</w:t>
      </w:r>
      <w:r>
        <w:rPr>
          <w:rFonts w:hint="eastAsia" w:ascii="Times New Roman" w:hAnsi="Times New Roman"/>
          <w:u w:val="none"/>
        </w:rPr>
        <w:t>构建市、区县、镇街、村社、网格五级数字化联动体系能力</w:t>
      </w:r>
      <w:r>
        <w:rPr>
          <w:rFonts w:ascii="Times New Roman" w:hAnsi="Times New Roman"/>
          <w:u w:val="none"/>
        </w:rPr>
        <w:t>，</w:t>
      </w:r>
      <w:r>
        <w:rPr>
          <w:rFonts w:hint="eastAsia" w:ascii="Times New Roman" w:hAnsi="Times New Roman"/>
          <w:u w:val="none"/>
        </w:rPr>
        <w:t>推动全市千行百业全面进入数字时代</w:t>
      </w:r>
      <w:r>
        <w:rPr>
          <w:rFonts w:ascii="Times New Roman" w:hAnsi="Times New Roman"/>
          <w:u w:val="none"/>
        </w:rPr>
        <w:t>。</w:t>
      </w:r>
    </w:p>
    <w:bookmarkEnd w:id="59"/>
    <w:p>
      <w:pPr>
        <w:pStyle w:val="3"/>
        <w:rPr>
          <w:rFonts w:ascii="Times New Roman" w:hAnsi="Times New Roman"/>
          <w:u w:val="none"/>
        </w:rPr>
      </w:pPr>
      <w:r>
        <w:rPr>
          <w:rFonts w:ascii="Times New Roman" w:hAnsi="Times New Roman" w:eastAsia="方正楷体_GBK"/>
          <w:bCs/>
          <w:sz w:val="32"/>
          <w:szCs w:val="32"/>
          <w:u w:val="none"/>
        </w:rPr>
        <w:t>1.统筹推进数字党建。</w:t>
      </w:r>
      <w:r>
        <w:rPr>
          <w:rFonts w:ascii="Times New Roman" w:hAnsi="Times New Roman"/>
          <w:sz w:val="32"/>
          <w:szCs w:val="21"/>
          <w:u w:val="none"/>
        </w:rPr>
        <w:t>聚焦推动党的领导一贯到底、纵深推进全面从严治党、深化全过程人民民主市域实践等，持续深化梳理迭代数字党建系统五级核心业务体系，加速构建党建统领整体智治数字化新格局。推动党政机关工作、作风建设、纪律建设、民主党派和无党派人士、统战文化传承、民族和宗教、新兴领域党的建设、党建引领基层治理和基层政权建设、凝聚服务群众等核心业务数字化，提升重要情况快处快调、基层党组织和党员队伍建设、干部人才工作、人大立法代表工作、政治协商、工会、共青团、妇联等核心业务数字化水平。</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3"/>
              <w:rPr>
                <w:rFonts w:ascii="Times New Roman" w:hAnsi="Times New Roman"/>
                <w:u w:val="none"/>
              </w:rPr>
            </w:pPr>
            <w:r>
              <w:rPr>
                <w:rFonts w:ascii="Times New Roman" w:hAnsi="Times New Roman" w:eastAsia="方正楷体_GBK"/>
                <w:b/>
                <w:bCs/>
                <w:u w:val="none"/>
              </w:rPr>
              <w:t>专题17：数字党建重点数字化应用。</w:t>
            </w:r>
            <w:r>
              <w:rPr>
                <w:rFonts w:ascii="Times New Roman" w:hAnsi="Times New Roman"/>
                <w:color w:val="000000"/>
                <w:kern w:val="0"/>
                <w:szCs w:val="32"/>
                <w:u w:val="none"/>
                <w:lang w:bidi="ar"/>
              </w:rPr>
              <w:t>迭代建设八张报表、八张问题清单、突发事件直报快响、渝才荟、人大代表全渝通、数字政协、</w:t>
            </w:r>
            <w:r>
              <w:rPr>
                <w:rFonts w:ascii="Times New Roman" w:hAnsi="Times New Roman"/>
                <w:color w:val="000000"/>
                <w:u w:val="none"/>
              </w:rPr>
              <w:t>红岩先锋智慧党务、</w:t>
            </w:r>
            <w:r>
              <w:rPr>
                <w:rFonts w:ascii="Times New Roman" w:hAnsi="Times New Roman"/>
                <w:color w:val="000000"/>
                <w:kern w:val="0"/>
                <w:szCs w:val="32"/>
                <w:u w:val="none"/>
                <w:lang w:bidi="ar"/>
              </w:rPr>
              <w:t>青春重庆、重庆改革在线、</w:t>
            </w:r>
            <w:r>
              <w:rPr>
                <w:rFonts w:ascii="Times New Roman" w:hAnsi="Times New Roman"/>
                <w:color w:val="000000"/>
                <w:u w:val="none"/>
              </w:rPr>
              <w:t>巴渝同心</w:t>
            </w:r>
            <w:r>
              <w:rPr>
                <w:rFonts w:ascii="Times New Roman" w:hAnsi="Times New Roman"/>
                <w:color w:val="000000"/>
                <w:kern w:val="0"/>
                <w:szCs w:val="32"/>
                <w:u w:val="none"/>
                <w:lang w:bidi="ar"/>
              </w:rPr>
              <w:t>等数字化应用，持续提升数字党建五级联动业务承接能力，加快完善党建统领整体智治工作格局。</w:t>
            </w:r>
          </w:p>
        </w:tc>
      </w:tr>
    </w:tbl>
    <w:p>
      <w:pPr>
        <w:spacing w:line="560" w:lineRule="exact"/>
        <w:rPr>
          <w:rFonts w:ascii="Times New Roman" w:hAnsi="Times New Roman"/>
          <w:szCs w:val="21"/>
          <w:u w:val="none"/>
        </w:rPr>
      </w:pPr>
      <w:r>
        <w:rPr>
          <w:rFonts w:ascii="Times New Roman" w:hAnsi="Times New Roman" w:eastAsia="方正楷体_GBK"/>
          <w:bCs/>
          <w:szCs w:val="32"/>
          <w:u w:val="none"/>
        </w:rPr>
        <w:t>2.改革创新数字政务。</w:t>
      </w:r>
      <w:r>
        <w:rPr>
          <w:rFonts w:ascii="Times New Roman" w:hAnsi="Times New Roman"/>
          <w:szCs w:val="21"/>
          <w:u w:val="none"/>
        </w:rPr>
        <w:t>聚焦全生命周期服务、全要素决策发展、全链条本质安全、全域协同治理等，持续优化数字政务系统五级核心业务体系，深度融合人工智能、数字孪生等前沿技术，显著提升政府履职数字化、智能化水平。</w:t>
      </w:r>
      <w:r>
        <w:rPr>
          <w:rFonts w:ascii="Times New Roman" w:hAnsi="Times New Roman"/>
          <w:color w:val="000000"/>
          <w:u w:val="none"/>
        </w:rPr>
        <w:t>围绕行政许可、行政确认、行政给付、行政奖励、行政裁决、公共服务、便民服务、其他行政权力服务事项，提升“一网通办”效能，推动政务服务从“能办”向“易办”“好办”转变，加大高频事项环节精简力度，优化再造流程，推进政务服务档案数字化，实现线上线下融合发展，力促政务服务提质增效。强化数智赋能经济运行监测、财税金融、食品药品溯源、城市规划建设、交通、住房、管线、应急、消防、能源、生态环境、公务出行等领域建设。深化“高效办成一件事”改革，围绕企业和个人全生命周期，聚焦办理量大、覆盖面广、关联性强的应用场景，构建“智能接收—AI处置—主动治理”闭环治理体系，提升泛在可及政府服务数字化能力。优化完善川渝通办线上服务专区，深化使用远程身份核验、音视频交互等技术，实现社保、医保、住房公积金、企业准入准营、安全生产等业务事项跨域办理。</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3"/>
              <w:rPr>
                <w:rFonts w:ascii="Times New Roman" w:hAnsi="Times New Roman" w:eastAsia="方正楷体_GBK"/>
                <w:u w:val="none"/>
              </w:rPr>
            </w:pPr>
            <w:r>
              <w:rPr>
                <w:rFonts w:ascii="Times New Roman" w:hAnsi="Times New Roman" w:eastAsia="方正楷体_GBK"/>
                <w:b/>
                <w:bCs/>
                <w:u w:val="none"/>
              </w:rPr>
              <w:t>专题18：数字政务重点数字化应用。</w:t>
            </w:r>
            <w:r>
              <w:rPr>
                <w:rFonts w:ascii="Times New Roman" w:hAnsi="Times New Roman"/>
                <w:color w:val="000000"/>
                <w:kern w:val="0"/>
                <w:szCs w:val="32"/>
                <w:u w:val="none"/>
                <w:lang w:bidi="ar"/>
              </w:rPr>
              <w:t>迭代升级民呼我为、危岩地灾风险管控、渣土治理、渝畅停、经济运行监测、智慧河长、巴渝治水、渝运安、智慧林长、水旱灾害防御、数字应急、渝食安全链条智管等数字化应用</w:t>
            </w:r>
            <w:r>
              <w:rPr>
                <w:rFonts w:ascii="Times New Roman" w:hAnsi="Times New Roman"/>
                <w:u w:val="none"/>
              </w:rPr>
              <w:t>，</w:t>
            </w:r>
            <w:r>
              <w:rPr>
                <w:rFonts w:ascii="Times New Roman" w:hAnsi="Times New Roman"/>
                <w:color w:val="000000"/>
                <w:kern w:val="0"/>
                <w:szCs w:val="32"/>
                <w:u w:val="none"/>
                <w:lang w:bidi="ar"/>
              </w:rPr>
              <w:t>加快构建数字政务系统五级联动业务承接体系，推动形成数字化、智能化的政府运行新形态。</w:t>
            </w:r>
          </w:p>
        </w:tc>
      </w:tr>
    </w:tbl>
    <w:p>
      <w:pPr>
        <w:spacing w:line="560" w:lineRule="exact"/>
        <w:rPr>
          <w:rFonts w:ascii="Times New Roman" w:hAnsi="Times New Roman"/>
          <w:szCs w:val="21"/>
          <w:u w:val="none"/>
        </w:rPr>
      </w:pPr>
      <w:bookmarkStart w:id="63" w:name="_Toc19373"/>
      <w:bookmarkStart w:id="64" w:name="_Toc227252616"/>
      <w:r>
        <w:rPr>
          <w:rFonts w:ascii="Times New Roman" w:hAnsi="Times New Roman" w:eastAsia="方正楷体_GBK"/>
          <w:bCs/>
          <w:szCs w:val="32"/>
          <w:u w:val="none"/>
        </w:rPr>
        <w:t>3.</w:t>
      </w:r>
      <w:bookmarkEnd w:id="63"/>
      <w:bookmarkEnd w:id="64"/>
      <w:r>
        <w:rPr>
          <w:rFonts w:ascii="Times New Roman" w:hAnsi="Times New Roman" w:eastAsia="方正楷体_GBK"/>
          <w:bCs/>
          <w:szCs w:val="32"/>
          <w:u w:val="none"/>
        </w:rPr>
        <w:t>迭代优化数字经济。</w:t>
      </w:r>
      <w:r>
        <w:rPr>
          <w:rFonts w:ascii="Times New Roman" w:hAnsi="Times New Roman"/>
          <w:szCs w:val="21"/>
          <w:u w:val="none"/>
        </w:rPr>
        <w:t>聚焦产业集群培育、企业成长服务、产业创新生态重塑、产业发展质效提升、现代化产业治理等五大领域，持续优化数字经济系统五级核心业务体系，构建数据驱动的供求动态平衡机制与生产组织模式智能重构升级体系。推动城乡融合和区域协调发展、科技攻关、成果转化、科创服务等核心业务数智化。</w:t>
      </w:r>
    </w:p>
    <w:p>
      <w:pPr>
        <w:spacing w:line="560" w:lineRule="exact"/>
        <w:ind w:firstLine="0" w:firstLineChars="0"/>
        <w:rPr>
          <w:rFonts w:ascii="Times New Roman" w:hAnsi="Times New Roman"/>
          <w:szCs w:val="21"/>
          <w:u w:val="none"/>
        </w:rPr>
      </w:pPr>
      <w:r>
        <w:rPr>
          <w:rFonts w:ascii="Times New Roman" w:hAnsi="Times New Roman"/>
          <w:szCs w:val="21"/>
          <w:u w:val="none"/>
        </w:rPr>
        <w:t>提升先进制造业中心建设、“33618”现代制造业集群建设、惠企服务、金融监管、消费促进、外贸促进、外资招引、对外经济合作、生活必需品应急保供、通道拓展、物流组织、口岸服务、千亿级生态特色产业培育、千万农民致富增收等核心业务数字化水平。</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9"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3"/>
              <w:rPr>
                <w:rFonts w:ascii="Times New Roman" w:hAnsi="Times New Roman" w:eastAsia="方正楷体_GBK"/>
                <w:u w:val="none"/>
              </w:rPr>
            </w:pPr>
            <w:r>
              <w:rPr>
                <w:rFonts w:ascii="Times New Roman" w:hAnsi="Times New Roman" w:eastAsia="方正楷体_GBK"/>
                <w:b/>
                <w:bCs/>
                <w:u w:val="none"/>
              </w:rPr>
              <w:t>专题19：数字经济重点数字化应用。</w:t>
            </w:r>
            <w:r>
              <w:rPr>
                <w:rFonts w:ascii="Times New Roman" w:hAnsi="Times New Roman"/>
                <w:u w:val="none"/>
              </w:rPr>
              <w:t>迭代建设产业一链通、数智金融服务、智汇攻关、AI企业码上服务、数智“三农”、科特派在行动、外贸“订单+清单”预警管理、村村旺农服通等数字化应用，加快构建产业培育、科技创新、企业服务等五级联动业务承接体系，推动数智赋能新质生产力发展和现代化产业体系建设。</w:t>
            </w:r>
          </w:p>
        </w:tc>
      </w:tr>
    </w:tbl>
    <w:p>
      <w:pPr>
        <w:spacing w:line="560" w:lineRule="exact"/>
        <w:rPr>
          <w:rFonts w:ascii="Times New Roman" w:hAnsi="Times New Roman"/>
          <w:u w:val="none"/>
        </w:rPr>
      </w:pPr>
      <w:r>
        <w:rPr>
          <w:rFonts w:ascii="Times New Roman" w:hAnsi="Times New Roman" w:eastAsia="方正楷体_GBK"/>
          <w:bCs/>
          <w:szCs w:val="32"/>
          <w:u w:val="none"/>
        </w:rPr>
        <w:t>4.共建共享数字社会。</w:t>
      </w:r>
      <w:r>
        <w:rPr>
          <w:rFonts w:ascii="Times New Roman" w:hAnsi="Times New Roman"/>
          <w:u w:val="none"/>
        </w:rPr>
        <w:t>聚焦投资于人、消费提档与民生改善，持续优化数字社会系统五级核心业务体系能力，加快构建为民利民惠民的高效精准数字化服务体系。</w:t>
      </w:r>
      <w:r>
        <w:rPr>
          <w:rFonts w:ascii="Times New Roman" w:hAnsi="Times New Roman"/>
          <w:color w:val="000000"/>
          <w:u w:val="none"/>
        </w:rPr>
        <w:t>提升公共卫生、医疗服务、融合创新和运行管理数字化水平，健全服务优质、运行高效的整合型卫生健康服务体系。着力提升人才培养、教师发展、学校治理等数字化水平，构建网络化、数字化、个性化、终身化的教育体系，支撑建设“人人皆学、处处能学、时时可学”的学习型社会。推进普惠性、基础性、兜底性民生数字化转型，提升社会救助、社会福利、社会事务、社会治理工作数字化能力，加快弥补“数字鸿沟”。加快高质量充分就业、全民社会保险体系、人力资源高质量发展、和谐劳动关系、社会保障卡一卡通的数字化能力建设，全面提升就业服务和社会保障能力。提升医保、医疗、医药协同发展与治理数字化水平。提升交通运输基础设施、运输服务和行业智治等数字化水平，构建现代化交通运输服务。</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9"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3"/>
              <w:rPr>
                <w:rFonts w:ascii="Times New Roman" w:hAnsi="Times New Roman" w:eastAsia="方正楷体_GBK"/>
                <w:u w:val="none"/>
              </w:rPr>
            </w:pPr>
            <w:bookmarkStart w:id="65" w:name="_Toc227252618"/>
            <w:r>
              <w:rPr>
                <w:rFonts w:ascii="Times New Roman" w:hAnsi="Times New Roman" w:eastAsia="方正楷体_GBK"/>
                <w:b/>
                <w:bCs/>
                <w:u w:val="none"/>
              </w:rPr>
              <w:t>专题20：数字社会重点数字化应用。</w:t>
            </w:r>
            <w:r>
              <w:rPr>
                <w:rFonts w:ascii="Times New Roman" w:hAnsi="Times New Roman"/>
                <w:u w:val="none"/>
              </w:rPr>
              <w:t>迭代惠学生、救助通、智慧医保、养老、就业、社保、医检互认、渝你同行、渝畅停、家医有约、医保基金运行数智监测等应用，有效提升数字社会系统五级联动业务承接能力，赋能构建更加优质均衡的公共服务体系。</w:t>
            </w:r>
          </w:p>
        </w:tc>
      </w:tr>
      <w:bookmarkEnd w:id="65"/>
    </w:tbl>
    <w:p>
      <w:pPr>
        <w:spacing w:line="560" w:lineRule="exact"/>
        <w:rPr>
          <w:rFonts w:ascii="Times New Roman" w:hAnsi="Times New Roman"/>
          <w:szCs w:val="32"/>
          <w:u w:val="none"/>
        </w:rPr>
      </w:pPr>
      <w:r>
        <w:rPr>
          <w:rFonts w:ascii="Times New Roman" w:hAnsi="Times New Roman" w:eastAsia="方正楷体_GBK"/>
          <w:bCs/>
          <w:szCs w:val="32"/>
          <w:u w:val="none"/>
        </w:rPr>
        <w:t>5.大力繁荣数字文化。</w:t>
      </w:r>
      <w:r>
        <w:rPr>
          <w:rFonts w:ascii="Times New Roman" w:hAnsi="Times New Roman"/>
          <w:u w:val="none"/>
        </w:rPr>
        <w:t>聚焦主流价值引领、主流舆论引导、主流文化供给，持续优化完善数字文化系统五级核心业务体系，数智赋能新时代文化强市建设。推进公共文化服务、旅游服务管理、文物保护利用、文化旅游产业等核心业务数字化，构建用户端“智慧文旅场景矩阵”、政府端“文旅监管数智大脑”，依托重点A级旅游景区，建成一批数字化景区，强化文旅资源一体化，提升文旅数字化管理水平。提升意识形态安全“防护网”、正面宣传、舆情监测处置、文明创建等业务数字化水平，构建集需求洞察、资源智能匹配、互动体验创新于一体的文化数字化服务体系，推动文化领域产业数字化转型与数字产业化升级双向发力。推进网络正能量传播引导、网络舆情风险防范化解、网络综合治理、网络安全、信息化驱动引领等业务数字化能力，提高网络风险智控、渝网智治等水平，牢牢掌握网络意识形态工作的主导权和网络舆论战场上的主动权，筑牢网络安全屏障。</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79"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3"/>
              <w:rPr>
                <w:rFonts w:ascii="Times New Roman" w:hAnsi="Times New Roman" w:eastAsia="方正楷体_GBK"/>
                <w:u w:val="none"/>
              </w:rPr>
            </w:pPr>
            <w:bookmarkStart w:id="66" w:name="_Toc227252619"/>
            <w:r>
              <w:rPr>
                <w:rFonts w:ascii="Times New Roman" w:hAnsi="Times New Roman" w:eastAsia="方正楷体_GBK"/>
                <w:b/>
                <w:bCs/>
                <w:u w:val="none"/>
              </w:rPr>
              <w:t>专题21：数字文化重点数字化应用。</w:t>
            </w:r>
            <w:r>
              <w:rPr>
                <w:rFonts w:ascii="Times New Roman" w:hAnsi="Times New Roman"/>
                <w:color w:val="000000"/>
                <w:kern w:val="0"/>
                <w:szCs w:val="32"/>
                <w:u w:val="none"/>
                <w:lang w:bidi="ar"/>
              </w:rPr>
              <w:t>迭代建设惠游重庆、巴渝文物、光影重庆、高品质文化生活、春风满巴渝、书香重庆、数智咨政等数字化应用，加快构建数字文化系统五级联动业务承接体系，全面推动数智赋能新时代文化强市建设。</w:t>
            </w:r>
          </w:p>
        </w:tc>
      </w:tr>
      <w:bookmarkEnd w:id="66"/>
    </w:tbl>
    <w:p>
      <w:pPr>
        <w:spacing w:line="560" w:lineRule="exact"/>
        <w:rPr>
          <w:rFonts w:ascii="Times New Roman" w:hAnsi="Times New Roman"/>
          <w:szCs w:val="32"/>
          <w:u w:val="none"/>
        </w:rPr>
      </w:pPr>
      <w:r>
        <w:rPr>
          <w:rFonts w:ascii="Times New Roman" w:hAnsi="Times New Roman" w:eastAsia="方正楷体_GBK"/>
          <w:bCs/>
          <w:szCs w:val="32"/>
          <w:u w:val="none"/>
        </w:rPr>
        <w:t>6.筑牢夯实数字法治。</w:t>
      </w:r>
      <w:r>
        <w:rPr>
          <w:rFonts w:ascii="Times New Roman" w:hAnsi="Times New Roman"/>
          <w:szCs w:val="32"/>
          <w:u w:val="none"/>
        </w:rPr>
        <w:t>聚焦维护政治安全、社会稳定、公平正义与人民安居乐业，持续优化完善数字法治系统五级核心业务体系，全面推动数智赋能平安重庆、法治重庆建设。推动社会矛盾纠纷多元化解、警务协同、风险防范、交通安全、治安治理、民生服务等核心业务数字化，打造全域覆盖的风险感知预警网络，增强社会风险防范能力。强化司法公正、民生司法保障、政法一体化办案集成等核心业务数字化，健全执法司法权力全周期数字化监督机制，构建权责清晰、协同高效的行政执法数字化体系，推动信用数据与执法监督一体联动。围绕公共法律服务、督促依法履职等核心业务数字化，整合公共法律服务资源，打造覆盖全域、普惠便捷的法治便民服务体系。</w:t>
      </w:r>
    </w:p>
    <w:bookmarkEnd w:id="60"/>
    <w:bookmarkEnd w:id="61"/>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topLinePunct/>
              <w:adjustRightInd w:val="0"/>
              <w:snapToGrid w:val="0"/>
              <w:spacing w:line="576" w:lineRule="exact"/>
              <w:ind w:firstLine="643"/>
              <w:rPr>
                <w:rFonts w:ascii="Times New Roman" w:hAnsi="Times New Roman" w:eastAsia="方正楷体_GBK"/>
                <w:u w:val="none"/>
              </w:rPr>
            </w:pPr>
            <w:bookmarkStart w:id="67" w:name="_Toc223528214"/>
            <w:bookmarkEnd w:id="67"/>
            <w:bookmarkStart w:id="68" w:name="_Toc223610180"/>
            <w:bookmarkStart w:id="69" w:name="_Toc227252620"/>
            <w:r>
              <w:rPr>
                <w:rFonts w:ascii="Times New Roman" w:hAnsi="Times New Roman" w:eastAsia="方正楷体_GBK"/>
                <w:b/>
                <w:bCs/>
                <w:u w:val="none"/>
              </w:rPr>
              <w:t>专题22：数字法治重点数字化应用。</w:t>
            </w:r>
            <w:r>
              <w:rPr>
                <w:rFonts w:ascii="Times New Roman" w:hAnsi="Times New Roman"/>
                <w:color w:val="000000"/>
                <w:kern w:val="0"/>
                <w:szCs w:val="32"/>
                <w:u w:val="none"/>
                <w:lang w:bidi="ar"/>
              </w:rPr>
              <w:t>迭代升级情指行、重庆调解在线、“执法+监督”、渝诉快执、交通运输打非治违、法律服务、人员密集重点场所联防联控、全渝数智法院等数字化应用，加快构建数字法治系统五级联动业务承接体系，全面推动数智赋能法治社会建设。</w:t>
            </w:r>
          </w:p>
        </w:tc>
      </w:tr>
    </w:tbl>
    <w:p>
      <w:pPr>
        <w:keepNext/>
        <w:keepLines/>
        <w:suppressAutoHyphens/>
        <w:spacing w:line="560" w:lineRule="exact"/>
        <w:outlineLvl w:val="1"/>
        <w:rPr>
          <w:rFonts w:ascii="Times New Roman" w:hAnsi="Times New Roman" w:eastAsia="方正楷体_GBK"/>
          <w:bCs/>
          <w:szCs w:val="32"/>
          <w:u w:val="none"/>
        </w:rPr>
      </w:pPr>
      <w:bookmarkStart w:id="70" w:name="_Toc229651120"/>
      <w:bookmarkStart w:id="71" w:name="_Toc28480"/>
      <w:r>
        <w:rPr>
          <w:rFonts w:ascii="Times New Roman" w:hAnsi="Times New Roman" w:eastAsia="方正楷体_GBK"/>
          <w:bCs/>
          <w:szCs w:val="32"/>
          <w:u w:val="none"/>
        </w:rPr>
        <w:t>（四）优化基层智治体系</w:t>
      </w:r>
      <w:bookmarkEnd w:id="70"/>
    </w:p>
    <w:bookmarkEnd w:id="68"/>
    <w:bookmarkEnd w:id="69"/>
    <w:bookmarkEnd w:id="71"/>
    <w:p>
      <w:pPr>
        <w:spacing w:line="560" w:lineRule="exact"/>
        <w:rPr>
          <w:rFonts w:ascii="Times New Roman" w:hAnsi="Times New Roman"/>
          <w:u w:val="none"/>
        </w:rPr>
      </w:pPr>
      <w:bookmarkStart w:id="72" w:name="_Toc223610181"/>
      <w:bookmarkStart w:id="73" w:name="_Toc227252621"/>
      <w:r>
        <w:rPr>
          <w:rFonts w:ascii="Times New Roman" w:hAnsi="Times New Roman"/>
          <w:u w:val="none"/>
        </w:rPr>
        <w:t>聚焦“指挥终端”“执行末端”“感知前端”定位，全面融合资源要素、人员力量和场景应用，健全及时发现问题、精准控制风险、高效解决问题作战体系，引领基层智治水平再上新台阶。</w:t>
      </w:r>
    </w:p>
    <w:bookmarkEnd w:id="72"/>
    <w:bookmarkEnd w:id="73"/>
    <w:p>
      <w:pPr>
        <w:spacing w:line="560" w:lineRule="exact"/>
        <w:rPr>
          <w:rFonts w:ascii="Times New Roman" w:hAnsi="Times New Roman"/>
          <w:szCs w:val="32"/>
          <w:u w:val="none"/>
        </w:rPr>
      </w:pPr>
      <w:bookmarkStart w:id="74" w:name="_Hlk221026382"/>
      <w:r>
        <w:rPr>
          <w:rFonts w:ascii="Times New Roman" w:hAnsi="Times New Roman" w:eastAsia="方正楷体_GBK"/>
          <w:szCs w:val="32"/>
          <w:u w:val="none"/>
        </w:rPr>
        <w:t>1.健全基层智治统筹协调机制</w:t>
      </w:r>
      <w:r>
        <w:rPr>
          <w:rFonts w:ascii="Times New Roman" w:hAnsi="Times New Roman"/>
          <w:szCs w:val="32"/>
          <w:u w:val="none"/>
        </w:rPr>
        <w:t>。推动党建统领“885”机制与基层智治体系深度融合，构建“目标穿透、闭环管控、一贯到底”的基层智治新格局。强化统筹协调能力，深化“141”智能体建设运行与AI综合分析决策赋能，推动目标任务、问题管控五级穿透贯通与全程自动监测。重塑三级责任体系，落实镇街、村社、网格清单，打造边界清晰、一贯到底的职责链条。</w:t>
      </w:r>
    </w:p>
    <w:p>
      <w:pPr>
        <w:spacing w:line="560" w:lineRule="exact"/>
        <w:rPr>
          <w:rFonts w:ascii="Times New Roman" w:hAnsi="Times New Roman"/>
          <w:u w:val="none"/>
        </w:rPr>
      </w:pPr>
      <w:bookmarkStart w:id="75" w:name="_Toc31485"/>
      <w:r>
        <w:rPr>
          <w:rFonts w:ascii="Times New Roman" w:hAnsi="Times New Roman" w:eastAsia="方正楷体_GBK"/>
          <w:szCs w:val="32"/>
          <w:u w:val="none"/>
        </w:rPr>
        <w:t>2.</w:t>
      </w:r>
      <w:bookmarkEnd w:id="75"/>
      <w:r>
        <w:rPr>
          <w:rFonts w:ascii="Times New Roman" w:hAnsi="Times New Roman" w:eastAsia="方正楷体_GBK"/>
          <w:szCs w:val="32"/>
          <w:u w:val="none"/>
        </w:rPr>
        <w:t>建设风险隐患一体化防控体系。</w:t>
      </w:r>
      <w:r>
        <w:rPr>
          <w:rFonts w:ascii="Times New Roman" w:hAnsi="Times New Roman"/>
          <w:u w:val="none"/>
        </w:rPr>
        <w:t>构建空天地一体、人机物协同的多维立体感知网络，推动应急、消防、公安、气象等系统贯通集成，增强多元风险数据融合与智能分析能力，赋能镇街风险态势动态感知、精准研判与前瞻预警。强化预警响应五级一体贯通，预警信息自动触发基层智能预案，响应指令智能分拨、精准派送至责任岗位。深化“一图统揽”建设，整合实景地图、物联感知、人房数据、应急资源等核心要素，实现治理要素“一网汇聚、一图可视”，拓展三级风险监测预警网络覆盖范围。重构数字化应急指挥体系与多跨数字预案，推动重点人员协同共管、应急抢险联动处置、多跨事件高效办理，全面提升条块协同联动水平。</w:t>
      </w:r>
    </w:p>
    <w:p>
      <w:pPr>
        <w:spacing w:line="560" w:lineRule="exact"/>
        <w:rPr>
          <w:rFonts w:ascii="Times New Roman" w:hAnsi="Times New Roman"/>
          <w:u w:val="none"/>
        </w:rPr>
      </w:pPr>
      <w:bookmarkStart w:id="76" w:name="_Toc16330"/>
      <w:r>
        <w:rPr>
          <w:rFonts w:ascii="Times New Roman" w:hAnsi="Times New Roman" w:eastAsia="方正楷体_GBK"/>
          <w:szCs w:val="32"/>
          <w:u w:val="none"/>
        </w:rPr>
        <w:t>3.</w:t>
      </w:r>
      <w:bookmarkEnd w:id="76"/>
      <w:r>
        <w:rPr>
          <w:rFonts w:ascii="Times New Roman" w:hAnsi="Times New Roman" w:eastAsia="方正楷体_GBK"/>
          <w:szCs w:val="32"/>
          <w:u w:val="none"/>
        </w:rPr>
        <w:t>推进矛盾纠纷调解智能化升级。</w:t>
      </w:r>
      <w:r>
        <w:rPr>
          <w:rFonts w:ascii="Times New Roman" w:hAnsi="Times New Roman"/>
          <w:u w:val="none"/>
        </w:rPr>
        <w:t>坚持和发展新时代“枫桥经验”，构建“线上线下一体、预警调解并重”的矛盾纠纷全周期化解数字机制，基本实现“小事不出村社、大事不出镇街、矛盾不上交”。融合贯通“矛盾纠纷多元化解”“调解在线”等应用，完善“网格排查、部门联动、提级管控”协同化解机制。构建高质量基层治理主题数据库，建立重点领域动态监测预警模型，强化婚恋家庭、邻里关系、欠资欠薪、涉法涉诉等隐患前端感知能力，开发基层治理智能研判模型，推动矛盾纠纷排查化解率不断提升。</w:t>
      </w:r>
    </w:p>
    <w:p>
      <w:pPr>
        <w:spacing w:line="560" w:lineRule="exact"/>
        <w:rPr>
          <w:rFonts w:ascii="Times New Roman" w:hAnsi="Times New Roman"/>
          <w:color w:val="000000"/>
          <w:szCs w:val="32"/>
          <w:u w:val="none"/>
        </w:rPr>
      </w:pPr>
      <w:r>
        <w:rPr>
          <w:rFonts w:ascii="Times New Roman" w:hAnsi="Times New Roman" w:eastAsia="方正楷体_GBK"/>
          <w:szCs w:val="32"/>
          <w:u w:val="none"/>
        </w:rPr>
        <w:t>4.构建一站式基层助企兴业服务体系。</w:t>
      </w:r>
      <w:r>
        <w:rPr>
          <w:rFonts w:ascii="Times New Roman" w:hAnsi="Times New Roman"/>
          <w:color w:val="000000"/>
          <w:szCs w:val="32"/>
          <w:u w:val="none"/>
          <w:lang w:val="en"/>
        </w:rPr>
        <w:t>健全</w:t>
      </w:r>
      <w:r>
        <w:rPr>
          <w:rFonts w:ascii="Times New Roman" w:hAnsi="Times New Roman"/>
          <w:color w:val="000000"/>
          <w:szCs w:val="32"/>
          <w:u w:val="none"/>
        </w:rPr>
        <w:t>“千企万户”常态化走访机制，贯通“信用+金融”“信用+监管”等应用场景，结合水电气税等数据构建企业精准画像与健康度评估体系，动态掌握辖区市场主体经营情况，强化涉企数据共享与业务协同。推动惠企政策智能匹配、精准推送、直达快享，帮助企业解决发展难题。集成“数智三农”“巴渝新农人培育”等贯通应用，迭代升级乡村产业。</w:t>
      </w:r>
    </w:p>
    <w:p>
      <w:pPr>
        <w:spacing w:line="560" w:lineRule="exact"/>
        <w:rPr>
          <w:rFonts w:ascii="Times New Roman" w:hAnsi="Times New Roman"/>
          <w:color w:val="000000"/>
          <w:szCs w:val="32"/>
          <w:u w:val="none"/>
        </w:rPr>
      </w:pPr>
      <w:r>
        <w:rPr>
          <w:rFonts w:ascii="Times New Roman" w:hAnsi="Times New Roman" w:eastAsia="方正楷体_GBK"/>
          <w:szCs w:val="32"/>
          <w:u w:val="none"/>
        </w:rPr>
        <w:t>5.推进民呼我为服务精细化。</w:t>
      </w:r>
      <w:r>
        <w:rPr>
          <w:rFonts w:ascii="Times New Roman" w:hAnsi="Times New Roman"/>
          <w:color w:val="000000"/>
          <w:szCs w:val="32"/>
          <w:u w:val="none"/>
        </w:rPr>
        <w:t>健全“镇街吹哨、部门报到”机制，依托“15分钟高品质生活服务圈”“民呼我为”等应用场景，精准识别、协同解决群众高频诉求和急难愁盼问题。贯通“重点人员动态感知”场景，推动“一标三实”数据与数字化城市运行和治理中心深度融合，及时帮扶就业困难、生活困顿群众，切实预防群体性风险。</w:t>
      </w:r>
    </w:p>
    <w:p>
      <w:pPr>
        <w:keepNext/>
        <w:keepLines/>
        <w:spacing w:line="560" w:lineRule="exact"/>
        <w:jc w:val="left"/>
        <w:outlineLvl w:val="0"/>
        <w:rPr>
          <w:rFonts w:hint="eastAsia" w:ascii="Times New Roman" w:hAnsi="Times New Roman" w:eastAsia="方正黑体_GBK"/>
          <w:kern w:val="44"/>
          <w:szCs w:val="32"/>
          <w:u w:val="none"/>
        </w:rPr>
      </w:pPr>
      <w:bookmarkStart w:id="77" w:name="_Toc229651121"/>
      <w:r>
        <w:rPr>
          <w:rFonts w:ascii="Times New Roman" w:hAnsi="Times New Roman" w:eastAsia="方正黑体_GBK"/>
          <w:kern w:val="44"/>
          <w:szCs w:val="32"/>
          <w:u w:val="none"/>
        </w:rPr>
        <w:t>四、强化数字重庆和人工智能双向赋能</w:t>
      </w:r>
      <w:bookmarkEnd w:id="77"/>
    </w:p>
    <w:p>
      <w:pPr>
        <w:spacing w:line="560" w:lineRule="exact"/>
        <w:rPr>
          <w:rFonts w:ascii="Times New Roman" w:hAnsi="Times New Roman"/>
          <w:szCs w:val="32"/>
          <w:u w:val="none"/>
        </w:rPr>
      </w:pPr>
      <w:r>
        <w:rPr>
          <w:rFonts w:ascii="Times New Roman" w:hAnsi="Times New Roman"/>
          <w:szCs w:val="32"/>
          <w:u w:val="none"/>
        </w:rPr>
        <w:t>发挥坚实产业基础和丰富应用场景等优势，打通人工智能技术攻关、产业发展、应用场景体系全链条，加速释放数字重庆和人工智能双向赋能效应。</w:t>
      </w:r>
    </w:p>
    <w:p>
      <w:pPr>
        <w:keepNext/>
        <w:keepLines/>
        <w:suppressAutoHyphens/>
        <w:spacing w:line="560" w:lineRule="exact"/>
        <w:outlineLvl w:val="1"/>
        <w:rPr>
          <w:rFonts w:ascii="Times New Roman" w:hAnsi="Times New Roman" w:eastAsia="方正楷体_GBK"/>
          <w:szCs w:val="32"/>
          <w:u w:val="none"/>
        </w:rPr>
      </w:pPr>
      <w:bookmarkStart w:id="78" w:name="_Toc229651122"/>
      <w:r>
        <w:rPr>
          <w:rFonts w:ascii="Times New Roman" w:hAnsi="Times New Roman" w:eastAsia="方正楷体_GBK"/>
          <w:bCs/>
          <w:szCs w:val="32"/>
          <w:u w:val="none"/>
        </w:rPr>
        <w:t>（一）</w:t>
      </w:r>
      <w:r>
        <w:rPr>
          <w:rFonts w:ascii="Times New Roman" w:hAnsi="Times New Roman" w:eastAsia="方正楷体_GBK"/>
          <w:szCs w:val="32"/>
          <w:u w:val="none"/>
        </w:rPr>
        <w:t>加强</w:t>
      </w:r>
      <w:r>
        <w:rPr>
          <w:rFonts w:hint="eastAsia" w:ascii="Times New Roman" w:hAnsi="Times New Roman" w:eastAsia="方正楷体_GBK"/>
          <w:szCs w:val="32"/>
          <w:u w:val="none"/>
        </w:rPr>
        <w:t>人工智能</w:t>
      </w:r>
      <w:r>
        <w:rPr>
          <w:rFonts w:ascii="Times New Roman" w:hAnsi="Times New Roman" w:eastAsia="方正楷体_GBK"/>
          <w:szCs w:val="32"/>
          <w:u w:val="none"/>
        </w:rPr>
        <w:t>关键核心技术</w:t>
      </w:r>
      <w:r>
        <w:rPr>
          <w:rFonts w:ascii="Times New Roman" w:hAnsi="Times New Roman" w:eastAsia="方正楷体_GBK"/>
          <w:bCs/>
          <w:szCs w:val="32"/>
          <w:u w:val="none"/>
        </w:rPr>
        <w:t>攻关</w:t>
      </w:r>
      <w:bookmarkEnd w:id="78"/>
    </w:p>
    <w:p>
      <w:pPr>
        <w:rPr>
          <w:rFonts w:ascii="Times New Roman" w:hAnsi="Times New Roman"/>
          <w:szCs w:val="32"/>
          <w:u w:val="none"/>
        </w:rPr>
      </w:pPr>
      <w:r>
        <w:rPr>
          <w:rFonts w:ascii="Times New Roman" w:hAnsi="Times New Roman"/>
          <w:szCs w:val="32"/>
          <w:u w:val="none"/>
        </w:rPr>
        <w:t>加强</w:t>
      </w:r>
      <w:r>
        <w:rPr>
          <w:rFonts w:hint="eastAsia" w:ascii="Times New Roman" w:hAnsi="Times New Roman"/>
          <w:szCs w:val="32"/>
          <w:u w:val="none"/>
        </w:rPr>
        <w:t>人工智能</w:t>
      </w:r>
      <w:r>
        <w:rPr>
          <w:rFonts w:ascii="Times New Roman" w:hAnsi="Times New Roman"/>
          <w:szCs w:val="32"/>
          <w:u w:val="none"/>
        </w:rPr>
        <w:t>关键核心技术攻关，大力发展智能原生技术、产品和服务体系，推动科技成果高效转化应用，构建自主可控的数智技术创新体系。构建以各类科技创新平台基地为主要承载的人工智能科技创新平台体系，加强人工智能数据资源库、模型库、算法库和开放平台建设。支持西部（重庆）科学城创建高端实验室，布局中试基地，打造制造业与AI深度融合的重要载体。支持行业龙头企业牵头组建创新联合体，带动产业链上下游协同创新，开展数字经济创新型企业培育行动。</w:t>
      </w:r>
    </w:p>
    <w:tbl>
      <w:tblPr>
        <w:tblStyle w:val="6"/>
        <w:tblW w:w="877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tcBorders>
              <w:top w:val="single" w:color="auto" w:sz="4" w:space="0"/>
              <w:left w:val="single" w:color="auto" w:sz="4" w:space="0"/>
              <w:bottom w:val="single" w:color="auto" w:sz="4" w:space="0"/>
              <w:right w:val="single" w:color="auto" w:sz="4" w:space="0"/>
            </w:tcBorders>
            <w:noWrap w:val="0"/>
            <w:vAlign w:val="top"/>
          </w:tcPr>
          <w:p>
            <w:pPr>
              <w:widowControl/>
              <w:ind w:firstLine="643" w:firstLineChars="0"/>
              <w:rPr>
                <w:rFonts w:ascii="Times New Roman" w:hAnsi="Times New Roman"/>
                <w:szCs w:val="32"/>
                <w:u w:val="none"/>
              </w:rPr>
            </w:pPr>
            <w:r>
              <w:rPr>
                <w:rFonts w:ascii="Times New Roman" w:hAnsi="Times New Roman" w:eastAsia="方正楷体_GBK"/>
                <w:b/>
                <w:bCs/>
                <w:u w:val="none"/>
              </w:rPr>
              <w:t>专题23：重大科技基础设施</w:t>
            </w:r>
            <w:r>
              <w:rPr>
                <w:rFonts w:ascii="Times New Roman" w:hAnsi="Times New Roman" w:eastAsia="方正楷体_GBK"/>
                <w:b/>
                <w:bCs/>
                <w:szCs w:val="32"/>
                <w:u w:val="none"/>
              </w:rPr>
              <w:t>。</w:t>
            </w:r>
            <w:r>
              <w:rPr>
                <w:rFonts w:ascii="Times New Roman" w:hAnsi="Times New Roman"/>
                <w:color w:val="000000"/>
                <w:szCs w:val="32"/>
                <w:u w:val="none"/>
              </w:rPr>
              <w:t>建设“两院一湾”，创建精密位移测量等领域全国重点实验室，推动金凤、嘉陵江、明月湖等重庆实验室提质增效，推进人工智能、区块链、量子计算等新技术基础设施建设，支持建设底层技术平台、算法及模型平台、开源社区等共性平台。</w:t>
            </w:r>
            <w:r>
              <w:rPr>
                <w:rFonts w:ascii="Times New Roman" w:hAnsi="Times New Roman"/>
                <w:szCs w:val="32"/>
                <w:u w:val="none"/>
              </w:rPr>
              <w:t>争创国家制造业创新中心、国家卓越工程师实践基地，建设智能汽车技术学院、中试验证平台，促进创新成果加速产业化。</w:t>
            </w:r>
          </w:p>
          <w:p>
            <w:pPr>
              <w:widowControl/>
              <w:ind w:firstLine="643" w:firstLineChars="0"/>
              <w:rPr>
                <w:rFonts w:ascii="Times New Roman" w:hAnsi="Times New Roman"/>
                <w:szCs w:val="32"/>
                <w:u w:val="none"/>
              </w:rPr>
            </w:pPr>
            <w:r>
              <w:rPr>
                <w:rFonts w:ascii="Times New Roman" w:hAnsi="Times New Roman" w:eastAsia="方正楷体_GBK"/>
                <w:b/>
                <w:bCs/>
                <w:u w:val="none"/>
              </w:rPr>
              <w:t>专题24：重大科技攻关</w:t>
            </w:r>
            <w:r>
              <w:rPr>
                <w:rFonts w:ascii="Times New Roman" w:hAnsi="Times New Roman" w:eastAsia="方正楷体_GBK"/>
                <w:b/>
                <w:bCs/>
                <w:szCs w:val="32"/>
                <w:u w:val="none"/>
              </w:rPr>
              <w:t>。</w:t>
            </w:r>
            <w:r>
              <w:rPr>
                <w:rFonts w:ascii="Times New Roman" w:hAnsi="Times New Roman"/>
                <w:szCs w:val="32"/>
                <w:u w:val="none"/>
              </w:rPr>
              <w:t>围绕基础研究、颠覆性技术、关键核心技术开展集中攻关，在量子科技、脑机接口、工业母机、高端仪器、智能系统及机器人、先进材料、集成电路等领域取得标志性原创成果</w:t>
            </w:r>
            <w:r>
              <w:rPr>
                <w:rFonts w:ascii="Times New Roman" w:hAnsi="Times New Roman"/>
                <w:color w:val="000000"/>
                <w:szCs w:val="32"/>
                <w:u w:val="none"/>
              </w:rPr>
              <w:t>。</w:t>
            </w:r>
            <w:r>
              <w:rPr>
                <w:rFonts w:ascii="Times New Roman" w:hAnsi="Times New Roman"/>
                <w:szCs w:val="32"/>
                <w:u w:val="none"/>
              </w:rPr>
              <w:t>推动龙头企业带动大中小企业融合集成创新，集聚链接研发、制造、金融、人才等各种资源，协同开展产业关键核心技术攻关。</w:t>
            </w:r>
          </w:p>
        </w:tc>
      </w:tr>
    </w:tbl>
    <w:p>
      <w:pPr>
        <w:keepNext/>
        <w:keepLines/>
        <w:suppressAutoHyphens/>
        <w:spacing w:line="560" w:lineRule="exact"/>
        <w:outlineLvl w:val="1"/>
        <w:rPr>
          <w:rFonts w:ascii="Times New Roman" w:hAnsi="Times New Roman" w:eastAsia="方正楷体_GBK"/>
          <w:szCs w:val="32"/>
          <w:u w:val="none"/>
        </w:rPr>
      </w:pPr>
      <w:bookmarkStart w:id="79" w:name="_Toc229651123"/>
      <w:r>
        <w:rPr>
          <w:rFonts w:ascii="Times New Roman" w:hAnsi="Times New Roman" w:eastAsia="方正楷体_GBK"/>
          <w:bCs/>
          <w:szCs w:val="32"/>
          <w:u w:val="none"/>
        </w:rPr>
        <w:t>（二）</w:t>
      </w:r>
      <w:r>
        <w:rPr>
          <w:rFonts w:ascii="Times New Roman" w:hAnsi="Times New Roman" w:eastAsia="方正楷体_GBK"/>
          <w:szCs w:val="32"/>
          <w:u w:val="none"/>
        </w:rPr>
        <w:t>加快人工智能产业发展</w:t>
      </w:r>
      <w:bookmarkEnd w:id="79"/>
    </w:p>
    <w:p>
      <w:pPr>
        <w:rPr>
          <w:rFonts w:ascii="Times New Roman" w:hAnsi="Times New Roman"/>
          <w:u w:val="none"/>
        </w:rPr>
      </w:pPr>
      <w:r>
        <w:rPr>
          <w:rFonts w:ascii="Times New Roman" w:hAnsi="Times New Roman"/>
          <w:szCs w:val="32"/>
          <w:u w:val="none"/>
        </w:rPr>
        <w:t>深化“人工智能+”汽车，加快智能座舱、车控、驾驶、底盘、芯片及操作系统全链条突破，加速高级别自动驾驶整车量产与规模化应用，建设世界级智能网联新能源汽车产业集群。发展具身智能产业，丰富工业制造、商业服务、特种场景机器人产品，做强核心零部件与高精度传感器，建设超大城市具身智能实训场与市级机器人实训基地。发展“人工智能+”低空产业，研制大载重、长续航无人机及智能航电起降装备，建成低空智能网联系统，打造低空物流配送、山地文旅消费等山城特色应用场景，构建空域规划调度、飞行安全预警等垂类模型与智能体。发展新一代智能终端产业，研制AI手机、AI计算机、智能家庭终端及智能可穿戴设备等创新产品，攻关多模态交互、端侧智能决策等技术。</w:t>
      </w:r>
    </w:p>
    <w:bookmarkEnd w:id="74"/>
    <w:p>
      <w:pPr>
        <w:keepNext/>
        <w:keepLines/>
        <w:suppressAutoHyphens/>
        <w:spacing w:line="560" w:lineRule="exact"/>
        <w:outlineLvl w:val="1"/>
        <w:rPr>
          <w:rFonts w:ascii="Times New Roman" w:hAnsi="Times New Roman" w:eastAsia="方正楷体_GBK"/>
          <w:bCs/>
          <w:szCs w:val="32"/>
          <w:u w:val="none"/>
        </w:rPr>
      </w:pPr>
      <w:bookmarkStart w:id="80" w:name="_Toc221620760"/>
      <w:bookmarkEnd w:id="80"/>
      <w:bookmarkStart w:id="81" w:name="_Toc221620653"/>
      <w:bookmarkEnd w:id="81"/>
      <w:bookmarkStart w:id="82" w:name="_Toc221620655"/>
      <w:bookmarkEnd w:id="82"/>
      <w:bookmarkStart w:id="83" w:name="_Toc221620758"/>
      <w:bookmarkEnd w:id="83"/>
      <w:bookmarkStart w:id="84" w:name="_Toc229651124"/>
      <w:bookmarkStart w:id="85" w:name="_Toc6883"/>
      <w:bookmarkStart w:id="86" w:name="_Toc15678"/>
      <w:bookmarkStart w:id="87" w:name="_Toc223512181"/>
      <w:bookmarkStart w:id="88" w:name="_Toc223610201"/>
      <w:bookmarkStart w:id="89" w:name="_Toc1165"/>
      <w:bookmarkStart w:id="90" w:name="_Toc223610204"/>
      <w:bookmarkStart w:id="91" w:name="_Toc220660305"/>
      <w:bookmarkStart w:id="92" w:name="_Toc227252637"/>
      <w:r>
        <w:rPr>
          <w:rFonts w:ascii="Times New Roman" w:hAnsi="Times New Roman" w:eastAsia="方正楷体_GBK"/>
          <w:bCs/>
          <w:szCs w:val="32"/>
          <w:u w:val="none"/>
        </w:rPr>
        <w:t>（三）建设人工智能应用场景体系</w:t>
      </w:r>
      <w:bookmarkEnd w:id="84"/>
    </w:p>
    <w:p>
      <w:pPr>
        <w:rPr>
          <w:rFonts w:ascii="Times New Roman" w:hAnsi="Times New Roman" w:eastAsia="方正楷体_GBK"/>
          <w:szCs w:val="32"/>
          <w:u w:val="none"/>
        </w:rPr>
      </w:pPr>
      <w:r>
        <w:rPr>
          <w:rFonts w:ascii="Times New Roman" w:hAnsi="Times New Roman"/>
          <w:u w:val="none"/>
        </w:rPr>
        <w:t>推动人工智能与高效治理深度融合，赋能国土空间规划、城市运行、交通治理、安全应急、生态环保等超大城市治理重点领域，构建态势感知、智能预警、协同处置的智治体系。推动人工智能与经济发展深度融合，赋能先进制造业全流程数智化升级，迭代“产业大脑+未来工厂”模式，赋能现代农业、生产性服务业、文旅消费等产业提质增效。推动人工智能与美好生活深度融合，聚焦就业社保、教育教学、医疗卫生、养老托育、助残救助等重点民生领域，打造智慧便捷、公平普惠的公共服务应用。推动人工智能与科技创新深度融合，构建“科创大脑+未来实验室”新型科研体系，建设科学大模型和科研智能体，驱动科学研究范式变革。</w:t>
      </w:r>
    </w:p>
    <w:p>
      <w:pPr>
        <w:keepNext/>
        <w:keepLines/>
        <w:spacing w:line="560" w:lineRule="exact"/>
        <w:jc w:val="left"/>
        <w:outlineLvl w:val="0"/>
        <w:rPr>
          <w:rFonts w:ascii="Times New Roman" w:hAnsi="Times New Roman" w:eastAsia="方正黑体_GBK"/>
          <w:kern w:val="44"/>
          <w:szCs w:val="32"/>
          <w:u w:val="none"/>
        </w:rPr>
      </w:pPr>
      <w:bookmarkStart w:id="93" w:name="_Toc229651125"/>
      <w:r>
        <w:rPr>
          <w:rFonts w:ascii="Times New Roman" w:hAnsi="Times New Roman" w:eastAsia="方正黑体_GBK"/>
          <w:kern w:val="44"/>
          <w:szCs w:val="32"/>
          <w:u w:val="none"/>
        </w:rPr>
        <w:t>五、</w:t>
      </w:r>
      <w:bookmarkStart w:id="94" w:name="OLE_LINK5"/>
      <w:r>
        <w:rPr>
          <w:rFonts w:hint="eastAsia" w:ascii="Times New Roman" w:hAnsi="Times New Roman" w:eastAsia="方正黑体_GBK"/>
          <w:kern w:val="44"/>
          <w:szCs w:val="32"/>
          <w:u w:val="none"/>
        </w:rPr>
        <w:t>加速</w:t>
      </w:r>
      <w:r>
        <w:rPr>
          <w:rFonts w:ascii="Times New Roman" w:hAnsi="Times New Roman" w:eastAsia="方正黑体_GBK"/>
          <w:kern w:val="44"/>
          <w:szCs w:val="32"/>
          <w:u w:val="none"/>
        </w:rPr>
        <w:t>数智技术和产业创新融合</w:t>
      </w:r>
      <w:bookmarkEnd w:id="85"/>
      <w:bookmarkEnd w:id="86"/>
      <w:bookmarkEnd w:id="93"/>
      <w:bookmarkEnd w:id="94"/>
    </w:p>
    <w:p>
      <w:pPr>
        <w:spacing w:line="560" w:lineRule="exact"/>
        <w:rPr>
          <w:rFonts w:ascii="Times New Roman" w:hAnsi="Times New Roman"/>
          <w:szCs w:val="32"/>
          <w:u w:val="none"/>
        </w:rPr>
      </w:pPr>
      <w:r>
        <w:rPr>
          <w:rFonts w:ascii="Times New Roman" w:hAnsi="Times New Roman"/>
          <w:szCs w:val="32"/>
          <w:u w:val="none"/>
        </w:rPr>
        <w:t>推动数智产业创新发展，大力培育数字产业集群，加快农业、工业、服务业数智化转型，</w:t>
      </w:r>
      <w:r>
        <w:rPr>
          <w:rFonts w:ascii="Times New Roman" w:hAnsi="Times New Roman"/>
          <w:color w:val="000000"/>
          <w:szCs w:val="32"/>
          <w:u w:val="none"/>
        </w:rPr>
        <w:t>建成西部领先数字经济发展高地</w:t>
      </w:r>
      <w:r>
        <w:rPr>
          <w:rFonts w:ascii="Times New Roman" w:hAnsi="Times New Roman"/>
          <w:szCs w:val="32"/>
          <w:u w:val="none"/>
        </w:rPr>
        <w:t>。</w:t>
      </w:r>
    </w:p>
    <w:p>
      <w:pPr>
        <w:keepNext/>
        <w:keepLines/>
        <w:suppressAutoHyphens/>
        <w:spacing w:line="560" w:lineRule="exact"/>
        <w:outlineLvl w:val="1"/>
        <w:rPr>
          <w:rFonts w:ascii="Times New Roman" w:hAnsi="Times New Roman" w:eastAsia="方正楷体_GBK"/>
          <w:bCs/>
          <w:szCs w:val="32"/>
          <w:u w:val="none"/>
        </w:rPr>
      </w:pPr>
      <w:bookmarkStart w:id="95" w:name="_Toc23394"/>
      <w:bookmarkStart w:id="96" w:name="_Toc229651126"/>
      <w:bookmarkStart w:id="97" w:name="_Toc12166"/>
      <w:r>
        <w:rPr>
          <w:rFonts w:ascii="Times New Roman" w:hAnsi="Times New Roman" w:eastAsia="方正楷体_GBK"/>
          <w:bCs/>
          <w:szCs w:val="32"/>
          <w:u w:val="none"/>
        </w:rPr>
        <w:t>（一）推进数智产业创新发展</w:t>
      </w:r>
      <w:bookmarkEnd w:id="95"/>
      <w:bookmarkEnd w:id="96"/>
      <w:bookmarkEnd w:id="97"/>
    </w:p>
    <w:p>
      <w:pPr>
        <w:rPr>
          <w:rFonts w:ascii="Times New Roman" w:hAnsi="Times New Roman"/>
          <w:szCs w:val="32"/>
          <w:u w:val="none"/>
        </w:rPr>
      </w:pPr>
      <w:r>
        <w:rPr>
          <w:rFonts w:ascii="Times New Roman" w:hAnsi="Times New Roman"/>
          <w:szCs w:val="32"/>
          <w:u w:val="none"/>
        </w:rPr>
        <w:t>推动智能终端、新型显示、功率半导体及集成电路等核心优势产业发展，培育壮大能源电子、服务器、传感器及仪器仪表等高成长性产业，前瞻布局空天信息等未来产业，打造具有国际影响力的电子信息产业集群。支持基础软件、工业软件、汽车软件等核心技术自主创新和开源软件发展，建设高水平软件产业集聚区。支持和规范游戏动漫、数字影视、数字文学、数字音乐、网络直播、虚拟偶像、电子竞技等数字内容产业发展，培育虚拟现实、增强现实等沉浸式业态。大力发展数据企业，高水平建设数据产业集聚区。推动平台经济规范有序、创新健康发展。</w:t>
      </w:r>
      <w:r>
        <w:rPr>
          <w:rFonts w:hint="eastAsia" w:ascii="Times New Roman" w:hAnsi="Times New Roman"/>
          <w:szCs w:val="32"/>
          <w:u w:val="none"/>
        </w:rPr>
        <w:t>对标国家战略腹地建设，推动数据灾备产业发展。</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31" w:type="dxa"/>
            <w:tcBorders>
              <w:top w:val="single" w:color="auto" w:sz="4" w:space="0"/>
              <w:left w:val="single" w:color="auto" w:sz="4" w:space="0"/>
              <w:bottom w:val="single" w:color="auto" w:sz="4" w:space="0"/>
              <w:right w:val="single" w:color="auto" w:sz="4" w:space="0"/>
            </w:tcBorders>
            <w:noWrap w:val="0"/>
            <w:vAlign w:val="top"/>
          </w:tcPr>
          <w:p>
            <w:pPr>
              <w:ind w:firstLine="643"/>
              <w:rPr>
                <w:rFonts w:ascii="Times New Roman" w:hAnsi="Times New Roman"/>
                <w:bCs/>
                <w:szCs w:val="32"/>
                <w:u w:val="none"/>
              </w:rPr>
            </w:pPr>
            <w:r>
              <w:rPr>
                <w:rFonts w:ascii="Times New Roman" w:hAnsi="Times New Roman" w:eastAsia="方正楷体_GBK"/>
                <w:b/>
                <w:bCs/>
                <w:u w:val="none"/>
              </w:rPr>
              <w:t>专题25：高质量数据集建设</w:t>
            </w:r>
            <w:r>
              <w:rPr>
                <w:rFonts w:ascii="Times New Roman" w:hAnsi="Times New Roman"/>
                <w:b/>
                <w:bCs/>
                <w:szCs w:val="32"/>
                <w:u w:val="none"/>
              </w:rPr>
              <w:t>。</w:t>
            </w:r>
            <w:r>
              <w:rPr>
                <w:rFonts w:ascii="Times New Roman" w:hAnsi="Times New Roman"/>
                <w:bCs/>
                <w:szCs w:val="32"/>
                <w:u w:val="none"/>
              </w:rPr>
              <w:t>融合开发跨机构、跨层级、跨区域的数据资源，在科学研究、智能制造、医疗健康、金融等领域建设高质量数据集，加强覆盖数据采集、处理、标注、质检、测评、迭代、审计等全生命周期的数据集管理服务能力建设。</w:t>
            </w:r>
          </w:p>
          <w:p>
            <w:pPr>
              <w:ind w:firstLine="643"/>
              <w:rPr>
                <w:rFonts w:ascii="Times New Roman" w:hAnsi="Times New Roman"/>
                <w:bCs/>
                <w:szCs w:val="32"/>
                <w:u w:val="none"/>
              </w:rPr>
            </w:pPr>
            <w:r>
              <w:rPr>
                <w:rFonts w:ascii="Times New Roman" w:hAnsi="Times New Roman" w:eastAsia="方正楷体_GBK"/>
                <w:b/>
                <w:bCs/>
                <w:u w:val="none"/>
              </w:rPr>
              <w:t>专题26：数字经济核心产业</w:t>
            </w:r>
            <w:r>
              <w:rPr>
                <w:rFonts w:ascii="Times New Roman" w:hAnsi="Times New Roman"/>
                <w:b/>
                <w:szCs w:val="32"/>
                <w:u w:val="none"/>
              </w:rPr>
              <w:t>。</w:t>
            </w:r>
            <w:r>
              <w:rPr>
                <w:rFonts w:ascii="Times New Roman" w:hAnsi="Times New Roman"/>
                <w:bCs/>
                <w:szCs w:val="32"/>
                <w:u w:val="none"/>
              </w:rPr>
              <w:t>加快培育量子科技、脑机接口、6G、电子信息、软件和信息服务业等数字经济核心产业，推动形成西部领先、全国一流的数字经济产业集群。</w:t>
            </w:r>
          </w:p>
          <w:p>
            <w:pPr>
              <w:ind w:firstLine="643"/>
              <w:rPr>
                <w:rFonts w:ascii="Times New Roman" w:hAnsi="Times New Roman"/>
                <w:bCs/>
                <w:szCs w:val="32"/>
                <w:u w:val="none"/>
              </w:rPr>
            </w:pPr>
            <w:r>
              <w:rPr>
                <w:rFonts w:ascii="Times New Roman" w:hAnsi="Times New Roman" w:eastAsia="方正楷体_GBK"/>
                <w:b/>
                <w:bCs/>
                <w:u w:val="none"/>
              </w:rPr>
              <w:t>专题27：数据产业集聚区</w:t>
            </w:r>
            <w:r>
              <w:rPr>
                <w:rFonts w:ascii="Times New Roman" w:hAnsi="Times New Roman"/>
                <w:bCs/>
                <w:szCs w:val="32"/>
                <w:u w:val="none"/>
              </w:rPr>
              <w:t>。积极培育数据资源集聚型、数据技术创新型、数据流通利用型、数据创新应用型、数据安全治理型以及综合型数据企业，高水平建设两江数字经济产业园、仙桃数据谷等产业载体，建设国家级数据产业集聚区。</w:t>
            </w:r>
          </w:p>
        </w:tc>
      </w:tr>
    </w:tbl>
    <w:p>
      <w:pPr>
        <w:keepNext/>
        <w:keepLines/>
        <w:suppressAutoHyphens/>
        <w:spacing w:line="560" w:lineRule="exact"/>
        <w:outlineLvl w:val="1"/>
        <w:rPr>
          <w:rFonts w:ascii="Times New Roman" w:hAnsi="Times New Roman" w:eastAsia="方正楷体_GBK"/>
          <w:bCs/>
          <w:szCs w:val="32"/>
          <w:u w:val="none"/>
        </w:rPr>
      </w:pPr>
      <w:bookmarkStart w:id="98" w:name="_Toc7557"/>
      <w:bookmarkStart w:id="99" w:name="_Toc229651127"/>
      <w:bookmarkStart w:id="100" w:name="_Toc11399"/>
      <w:r>
        <w:rPr>
          <w:rFonts w:ascii="Times New Roman" w:hAnsi="Times New Roman" w:eastAsia="方正楷体_GBK"/>
          <w:bCs/>
          <w:szCs w:val="32"/>
          <w:u w:val="none"/>
        </w:rPr>
        <w:t>（二）加快产业数智化转型</w:t>
      </w:r>
      <w:bookmarkEnd w:id="98"/>
      <w:bookmarkEnd w:id="99"/>
      <w:bookmarkEnd w:id="100"/>
    </w:p>
    <w:p>
      <w:pPr>
        <w:spacing w:line="560" w:lineRule="exact"/>
        <w:rPr>
          <w:rFonts w:ascii="Times New Roman" w:hAnsi="Times New Roman"/>
          <w:szCs w:val="32"/>
          <w:u w:val="none"/>
        </w:rPr>
      </w:pPr>
      <w:r>
        <w:rPr>
          <w:rFonts w:ascii="Times New Roman" w:hAnsi="Times New Roman"/>
          <w:szCs w:val="32"/>
          <w:u w:val="none"/>
        </w:rPr>
        <w:t>推动智慧农业发展，推广应用智能农机装备，加强农业大数据平台、农产品溯源平台建设和应用，加大农村仓储、冷链等设施数字化改造力度。发展直采直供、冷链配送等农产品销售服务新业态新模式。加快制造业数智化转型，推动研制智能制造装备、智能施工装备，推动能源、动力、低空、通航、检测等装备智能化发展，加强新智能核心装置的集成应用。鼓励设备供应商向系统解决方案供应商转型。加快建筑业智能化转型，培育数字能源新业态新模式。加快服务业数智化转型，推动数字贸易发展，推进跨境电商产业园、数字服务出口基地等数字贸易特色集聚区建设。推动智慧物流发展，提升口岸、港口、园区运营服务数字化水平。丰富数字金融、智慧医疗、智慧旅游应用场景，支持数字技术与教育、健康、养老等生活性服务业深度融合，发展体验式消费、个性需求定制服务等新业态。推动研发设计、检验检测、商务咨询等生产性服务业的数字化转型。建设区域型、行业型数字化转型促进中心。</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505" w:type="dxa"/>
            <w:tcBorders>
              <w:top w:val="single" w:color="auto" w:sz="4" w:space="0"/>
              <w:left w:val="single" w:color="auto" w:sz="4" w:space="0"/>
              <w:bottom w:val="single" w:color="auto" w:sz="4" w:space="0"/>
              <w:right w:val="single" w:color="auto" w:sz="4" w:space="0"/>
            </w:tcBorders>
            <w:noWrap w:val="0"/>
            <w:vAlign w:val="top"/>
          </w:tcPr>
          <w:p>
            <w:pPr>
              <w:spacing w:line="560" w:lineRule="exact"/>
              <w:ind w:firstLine="643"/>
              <w:rPr>
                <w:rFonts w:ascii="Times New Roman" w:hAnsi="Times New Roman"/>
                <w:szCs w:val="32"/>
                <w:u w:val="none"/>
              </w:rPr>
            </w:pPr>
            <w:r>
              <w:rPr>
                <w:rFonts w:ascii="Times New Roman" w:hAnsi="Times New Roman" w:eastAsia="方正楷体_GBK"/>
                <w:b/>
                <w:bCs/>
                <w:u w:val="none"/>
              </w:rPr>
              <w:t>专题28：智慧农业</w:t>
            </w:r>
            <w:r>
              <w:rPr>
                <w:rFonts w:ascii="Times New Roman" w:hAnsi="Times New Roman"/>
                <w:b/>
                <w:szCs w:val="32"/>
                <w:u w:val="none"/>
              </w:rPr>
              <w:t>。</w:t>
            </w:r>
            <w:r>
              <w:rPr>
                <w:rFonts w:ascii="Times New Roman" w:hAnsi="Times New Roman"/>
                <w:szCs w:val="32"/>
                <w:u w:val="none"/>
              </w:rPr>
              <w:t>推进数字农业农村发展工程，开发应用农业农村领域大模型，打造一批市级“人工智能+农业”应用场景，培育一批省级智慧农（牧、渔）场和数字农业工厂、智慧农产品批发市场。</w:t>
            </w:r>
          </w:p>
          <w:p>
            <w:pPr>
              <w:spacing w:line="560" w:lineRule="exact"/>
              <w:ind w:firstLine="643"/>
              <w:rPr>
                <w:rFonts w:ascii="Times New Roman" w:hAnsi="Times New Roman"/>
                <w:szCs w:val="32"/>
                <w:u w:val="none"/>
              </w:rPr>
            </w:pPr>
            <w:r>
              <w:rPr>
                <w:rFonts w:ascii="Times New Roman" w:hAnsi="Times New Roman" w:eastAsia="方正楷体_GBK"/>
                <w:b/>
                <w:bCs/>
                <w:u w:val="none"/>
              </w:rPr>
              <w:t>专题29：制造业数智化转型</w:t>
            </w:r>
            <w:r>
              <w:rPr>
                <w:rFonts w:ascii="Times New Roman" w:hAnsi="Times New Roman"/>
                <w:b/>
                <w:szCs w:val="32"/>
                <w:u w:val="none"/>
              </w:rPr>
              <w:t>。</w:t>
            </w:r>
            <w:r>
              <w:rPr>
                <w:rFonts w:ascii="Times New Roman" w:hAnsi="Times New Roman"/>
                <w:szCs w:val="32"/>
                <w:u w:val="none"/>
              </w:rPr>
              <w:t>围绕“33618”现代制造业集群目标，布局数字化研发设计平台和智能制造示范产线，突破先进工艺数字孪生、智能机器人协同制造等关键技术，促进制造业智能化、绿色化、融合化发展。打造一批智能工厂和未来工厂，深化“5G+工业互联网”应用，提升企业数字化研发设计工具普及率和关键工序数控化率。建成制造业数智化转型示范高地。</w:t>
            </w:r>
          </w:p>
          <w:p>
            <w:pPr>
              <w:spacing w:line="560" w:lineRule="exact"/>
              <w:ind w:firstLine="643"/>
              <w:rPr>
                <w:rFonts w:ascii="Times New Roman" w:hAnsi="Times New Roman"/>
                <w:szCs w:val="32"/>
                <w:u w:val="none"/>
              </w:rPr>
            </w:pPr>
            <w:r>
              <w:rPr>
                <w:rFonts w:ascii="Times New Roman" w:hAnsi="Times New Roman" w:eastAsia="方正楷体_GBK"/>
                <w:b/>
                <w:bCs/>
                <w:u w:val="none"/>
              </w:rPr>
              <w:t>专题30：服务业数智化转型</w:t>
            </w:r>
            <w:r>
              <w:rPr>
                <w:rFonts w:ascii="Times New Roman" w:hAnsi="Times New Roman"/>
                <w:b/>
                <w:szCs w:val="32"/>
                <w:u w:val="none"/>
              </w:rPr>
              <w:t>。</w:t>
            </w:r>
            <w:r>
              <w:rPr>
                <w:rFonts w:ascii="Times New Roman" w:hAnsi="Times New Roman"/>
                <w:szCs w:val="32"/>
                <w:u w:val="none"/>
              </w:rPr>
              <w:t>发展生产性服务业，构建数字化转型服务平台体系，打造数字化转型促进中心，开发面向中小企业的数字服务、解决方案及产品。丰富生活性服务业数字化应用场景，鼓励建设生活服务数字化赋能中心，促进服务业企业数字化转型能力建设。</w:t>
            </w:r>
          </w:p>
        </w:tc>
      </w:tr>
    </w:tbl>
    <w:p>
      <w:pPr>
        <w:keepNext/>
        <w:keepLines/>
        <w:suppressAutoHyphens/>
        <w:spacing w:line="560" w:lineRule="exact"/>
        <w:ind w:left="640" w:firstLine="0" w:firstLineChars="0"/>
        <w:outlineLvl w:val="1"/>
        <w:rPr>
          <w:rFonts w:ascii="Times New Roman" w:hAnsi="Times New Roman" w:eastAsia="方正楷体_GBK"/>
          <w:bCs/>
          <w:szCs w:val="32"/>
          <w:u w:val="none"/>
        </w:rPr>
      </w:pPr>
      <w:bookmarkStart w:id="101" w:name="_Toc229651128"/>
      <w:bookmarkStart w:id="102" w:name="_Toc23690"/>
      <w:bookmarkStart w:id="103" w:name="_Toc23106"/>
      <w:r>
        <w:rPr>
          <w:rFonts w:ascii="Times New Roman" w:hAnsi="Times New Roman" w:eastAsia="方正楷体_GBK"/>
          <w:bCs/>
          <w:szCs w:val="32"/>
          <w:u w:val="none"/>
        </w:rPr>
        <w:t>（三）打造一流创新融合应用生态</w:t>
      </w:r>
      <w:bookmarkEnd w:id="101"/>
      <w:bookmarkEnd w:id="102"/>
      <w:bookmarkEnd w:id="103"/>
    </w:p>
    <w:p>
      <w:pPr>
        <w:spacing w:line="560" w:lineRule="exact"/>
        <w:rPr>
          <w:rFonts w:ascii="Times New Roman" w:hAnsi="Times New Roman"/>
          <w:szCs w:val="32"/>
          <w:u w:val="none"/>
        </w:rPr>
      </w:pPr>
      <w:r>
        <w:rPr>
          <w:rFonts w:ascii="Times New Roman" w:hAnsi="Times New Roman"/>
          <w:szCs w:val="32"/>
          <w:u w:val="none"/>
        </w:rPr>
        <w:t>构建多元协同的创新策源生态，推行重点项目跟踪孵化模式，创新“跟踪陪跑”帮扶机制，健全技术经理人、职业经理人、投资经理人、孵化器管理人“陪跑人”培育政策体系，支持高校、科研院所与企业共建产教融合基地。构建开源共享的技术协同生态，鼓励企业联合开发者社区、开源基金会打造数字技术开源社区，搭建开源技术交流与成果转化平台。构建共生共赢的产业生态，建立平台企业与平台内经营者、劳动者之间的利益协调与权益保障机制，完善新就业形态劳动者权益保障制度，培育数据经纪、合规认证、资产评估、风险评估等专业服务机构，构建全链条服务体系。推动龙头企业带动大中小企业融合集成创新，组建创新联合体，带动产业链上下游协同创新。</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8505" w:type="dxa"/>
            <w:tcBorders>
              <w:top w:val="single" w:color="auto" w:sz="4" w:space="0"/>
              <w:left w:val="single" w:color="auto" w:sz="4" w:space="0"/>
              <w:bottom w:val="single" w:color="auto" w:sz="4" w:space="0"/>
              <w:right w:val="single" w:color="auto" w:sz="4" w:space="0"/>
            </w:tcBorders>
            <w:noWrap w:val="0"/>
            <w:vAlign w:val="top"/>
          </w:tcPr>
          <w:p>
            <w:pPr>
              <w:spacing w:line="588" w:lineRule="exact"/>
              <w:ind w:firstLine="643"/>
              <w:rPr>
                <w:rFonts w:ascii="Times New Roman" w:hAnsi="Times New Roman"/>
                <w:szCs w:val="32"/>
                <w:u w:val="none"/>
              </w:rPr>
            </w:pPr>
            <w:r>
              <w:rPr>
                <w:rFonts w:ascii="Times New Roman" w:hAnsi="Times New Roman" w:eastAsia="方正楷体_GBK"/>
                <w:b/>
                <w:bCs/>
                <w:u w:val="none"/>
              </w:rPr>
              <w:t>专题31：数创企业培育</w:t>
            </w:r>
            <w:r>
              <w:rPr>
                <w:rFonts w:ascii="Times New Roman" w:hAnsi="Times New Roman" w:eastAsia="方正楷体_GBK"/>
                <w:szCs w:val="32"/>
                <w:u w:val="none"/>
              </w:rPr>
              <w:t>。</w:t>
            </w:r>
            <w:r>
              <w:rPr>
                <w:rFonts w:ascii="Times New Roman" w:hAnsi="Times New Roman"/>
                <w:szCs w:val="32"/>
                <w:u w:val="none"/>
              </w:rPr>
              <w:t>加快培育一批以数据为关键要素的高新技术企业、专精特新“小巨人”企业、独角兽企业、瞪羚企业、创新型企业、规模以上企业，推动形成数据企业茁壮成长新生态。</w:t>
            </w:r>
          </w:p>
        </w:tc>
      </w:tr>
    </w:tbl>
    <w:p>
      <w:pPr>
        <w:keepNext/>
        <w:keepLines/>
        <w:spacing w:line="560" w:lineRule="exact"/>
        <w:jc w:val="left"/>
        <w:outlineLvl w:val="0"/>
        <w:rPr>
          <w:rFonts w:ascii="Times New Roman" w:hAnsi="Times New Roman" w:eastAsia="方正黑体_GBK"/>
          <w:kern w:val="44"/>
          <w:szCs w:val="32"/>
          <w:u w:val="none"/>
        </w:rPr>
      </w:pPr>
      <w:bookmarkStart w:id="104" w:name="_Toc229651129"/>
      <w:r>
        <w:rPr>
          <w:rFonts w:ascii="Times New Roman" w:hAnsi="Times New Roman" w:eastAsia="方正黑体_GBK"/>
          <w:kern w:val="44"/>
          <w:szCs w:val="32"/>
          <w:u w:val="none"/>
        </w:rPr>
        <w:t>六、</w:t>
      </w:r>
      <w:bookmarkEnd w:id="87"/>
      <w:bookmarkEnd w:id="88"/>
      <w:r>
        <w:rPr>
          <w:rFonts w:ascii="Times New Roman" w:hAnsi="Times New Roman" w:eastAsia="方正黑体_GBK"/>
          <w:kern w:val="44"/>
          <w:szCs w:val="32"/>
          <w:u w:val="none"/>
          <w:lang w:eastAsia="zh"/>
        </w:rPr>
        <w:t>持续深化数据要素市场化配置改革</w:t>
      </w:r>
      <w:bookmarkEnd w:id="89"/>
      <w:bookmarkEnd w:id="104"/>
    </w:p>
    <w:p>
      <w:pPr>
        <w:spacing w:line="588" w:lineRule="exact"/>
        <w:rPr>
          <w:rFonts w:ascii="Times New Roman" w:hAnsi="Times New Roman"/>
          <w:u w:val="none"/>
        </w:rPr>
      </w:pPr>
      <w:bookmarkStart w:id="105" w:name="_Toc227252634"/>
      <w:bookmarkStart w:id="106" w:name="_Toc223610202"/>
      <w:bookmarkStart w:id="107" w:name="_Toc223512182"/>
      <w:r>
        <w:rPr>
          <w:rFonts w:ascii="Times New Roman" w:hAnsi="Times New Roman"/>
          <w:u w:val="none"/>
        </w:rPr>
        <w:t>以要素市场化配置综合改革试点为牵引，全面落实数据基础制度，健全数据要素市场体系，积极融入全国一体化数据市场，加速推动数据要素价值释放。</w:t>
      </w:r>
    </w:p>
    <w:bookmarkEnd w:id="105"/>
    <w:p>
      <w:pPr>
        <w:keepNext/>
        <w:keepLines/>
        <w:suppressAutoHyphens/>
        <w:spacing w:line="588" w:lineRule="exact"/>
        <w:ind w:firstLineChars="0"/>
        <w:outlineLvl w:val="1"/>
        <w:rPr>
          <w:rFonts w:ascii="Times New Roman" w:hAnsi="Times New Roman" w:eastAsia="方正楷体_GBK"/>
          <w:szCs w:val="32"/>
          <w:u w:val="none"/>
          <w:lang w:eastAsia="zh"/>
        </w:rPr>
      </w:pPr>
      <w:bookmarkStart w:id="108" w:name="_Toc229651130"/>
      <w:bookmarkStart w:id="109" w:name="_Toc17965"/>
      <w:r>
        <w:rPr>
          <w:rFonts w:ascii="Times New Roman" w:hAnsi="Times New Roman" w:eastAsia="方正楷体_GBK"/>
          <w:szCs w:val="32"/>
          <w:u w:val="none"/>
          <w:lang w:eastAsia="zh"/>
        </w:rPr>
        <w:t>（一）推动公共数据开放运营</w:t>
      </w:r>
      <w:bookmarkEnd w:id="108"/>
      <w:bookmarkEnd w:id="109"/>
    </w:p>
    <w:p>
      <w:pPr>
        <w:suppressAutoHyphens/>
        <w:overflowPunct w:val="0"/>
        <w:spacing w:line="588" w:lineRule="exact"/>
        <w:rPr>
          <w:rFonts w:ascii="Times New Roman" w:hAnsi="Times New Roman"/>
          <w:szCs w:val="32"/>
          <w:u w:val="none"/>
          <w:lang w:bidi="ar"/>
        </w:rPr>
      </w:pPr>
      <w:r>
        <w:rPr>
          <w:rFonts w:ascii="Times New Roman" w:hAnsi="Times New Roman"/>
          <w:szCs w:val="32"/>
          <w:u w:val="none"/>
          <w:lang w:bidi="ar"/>
        </w:rPr>
        <w:t>推动公共数据资源授权运营。采取整体授权模式，深度挖掘民生服务、产业发展等领域高价值应用场景</w:t>
      </w:r>
      <w:r>
        <w:rPr>
          <w:rFonts w:ascii="Times New Roman" w:hAnsi="Times New Roman"/>
          <w:szCs w:val="32"/>
          <w:u w:val="none"/>
          <w:lang w:eastAsia="zh" w:bidi="ar"/>
        </w:rPr>
        <w:t>，打造</w:t>
      </w:r>
      <w:r>
        <w:rPr>
          <w:rFonts w:ascii="Times New Roman" w:hAnsi="Times New Roman"/>
          <w:bCs/>
          <w:szCs w:val="32"/>
          <w:u w:val="none"/>
        </w:rPr>
        <w:t>形成</w:t>
      </w:r>
      <w:r>
        <w:rPr>
          <w:rFonts w:ascii="Times New Roman" w:hAnsi="Times New Roman"/>
          <w:szCs w:val="32"/>
          <w:u w:val="none"/>
          <w:lang w:bidi="ar"/>
        </w:rPr>
        <w:t>更多优质</w:t>
      </w:r>
      <w:r>
        <w:rPr>
          <w:rFonts w:ascii="Times New Roman" w:hAnsi="Times New Roman"/>
          <w:szCs w:val="32"/>
          <w:u w:val="none"/>
          <w:lang w:eastAsia="zh" w:bidi="ar"/>
        </w:rPr>
        <w:t>公共</w:t>
      </w:r>
      <w:r>
        <w:rPr>
          <w:rFonts w:ascii="Times New Roman" w:hAnsi="Times New Roman"/>
          <w:szCs w:val="32"/>
          <w:u w:val="none"/>
          <w:lang w:bidi="ar"/>
        </w:rPr>
        <w:t>数据产品和服务</w:t>
      </w:r>
      <w:r>
        <w:rPr>
          <w:rFonts w:ascii="Times New Roman" w:hAnsi="Times New Roman"/>
          <w:bCs/>
          <w:szCs w:val="32"/>
          <w:u w:val="none"/>
          <w:lang w:eastAsia="zh"/>
        </w:rPr>
        <w:t>。结合</w:t>
      </w:r>
      <w:r>
        <w:rPr>
          <w:rFonts w:ascii="Times New Roman" w:hAnsi="Times New Roman"/>
          <w:bCs/>
          <w:szCs w:val="32"/>
          <w:u w:val="none"/>
        </w:rPr>
        <w:t>惠医便民公益需求以及相关产业发展市场需求</w:t>
      </w:r>
      <w:r>
        <w:rPr>
          <w:rFonts w:ascii="Times New Roman" w:hAnsi="Times New Roman"/>
          <w:bCs/>
          <w:szCs w:val="32"/>
          <w:u w:val="none"/>
          <w:lang w:eastAsia="zh"/>
        </w:rPr>
        <w:t>，推进</w:t>
      </w:r>
      <w:r>
        <w:rPr>
          <w:rFonts w:ascii="Times New Roman" w:hAnsi="Times New Roman"/>
          <w:bCs/>
          <w:szCs w:val="32"/>
          <w:u w:val="none"/>
        </w:rPr>
        <w:t>肿瘤公共数据资源依场景授权运营</w:t>
      </w:r>
      <w:r>
        <w:rPr>
          <w:rFonts w:ascii="Times New Roman" w:hAnsi="Times New Roman"/>
          <w:bCs/>
          <w:szCs w:val="32"/>
          <w:u w:val="none"/>
          <w:lang w:eastAsia="zh"/>
        </w:rPr>
        <w:t>。逐步</w:t>
      </w:r>
      <w:r>
        <w:rPr>
          <w:rFonts w:ascii="Times New Roman" w:hAnsi="Times New Roman"/>
          <w:szCs w:val="32"/>
          <w:u w:val="none"/>
          <w:lang w:bidi="ar"/>
        </w:rPr>
        <w:t>探索分领域授权</w:t>
      </w:r>
      <w:r>
        <w:rPr>
          <w:rFonts w:ascii="Times New Roman" w:hAnsi="Times New Roman"/>
          <w:szCs w:val="32"/>
          <w:u w:val="none"/>
          <w:lang w:eastAsia="zh" w:bidi="ar"/>
        </w:rPr>
        <w:t>模式，激发行业活力</w:t>
      </w:r>
      <w:r>
        <w:rPr>
          <w:rFonts w:ascii="Times New Roman" w:hAnsi="Times New Roman"/>
          <w:szCs w:val="32"/>
          <w:u w:val="none"/>
          <w:lang w:bidi="ar"/>
        </w:rPr>
        <w:t>。积极培育经营主体</w:t>
      </w:r>
      <w:r>
        <w:rPr>
          <w:rFonts w:ascii="Times New Roman" w:hAnsi="Times New Roman"/>
          <w:szCs w:val="32"/>
          <w:u w:val="none"/>
          <w:lang w:eastAsia="zh" w:bidi="ar"/>
        </w:rPr>
        <w:t>，鼓励经营主体参与</w:t>
      </w:r>
      <w:r>
        <w:rPr>
          <w:rFonts w:ascii="Times New Roman" w:hAnsi="Times New Roman"/>
          <w:szCs w:val="32"/>
          <w:u w:val="none"/>
          <w:lang w:bidi="ar"/>
        </w:rPr>
        <w:t>公共数据产品与服务再开发。健全公共数据资源授权运营价格形成机制，加强对授权运营实施机构、运营机构的监督管理，促进公共数据资源合规高效流通使用。探索开展公共数据资产权益在特定领域和经营主体范围内入股、质押等。</w:t>
      </w:r>
    </w:p>
    <w:tbl>
      <w:tblPr>
        <w:tblStyle w:val="6"/>
        <w:tblpPr w:leftFromText="180" w:rightFromText="180" w:vertAnchor="text" w:horzAnchor="margin" w:tblpXSpec="center" w:tblpY="1"/>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8779" w:type="dxa"/>
            <w:tcBorders>
              <w:top w:val="single" w:color="auto" w:sz="4" w:space="0"/>
              <w:left w:val="single" w:color="auto" w:sz="4" w:space="0"/>
              <w:bottom w:val="single" w:color="auto" w:sz="4" w:space="0"/>
              <w:right w:val="single" w:color="auto" w:sz="4" w:space="0"/>
            </w:tcBorders>
            <w:noWrap w:val="0"/>
            <w:vAlign w:val="top"/>
          </w:tcPr>
          <w:p>
            <w:pPr>
              <w:spacing w:line="588" w:lineRule="exact"/>
              <w:ind w:firstLine="643"/>
              <w:rPr>
                <w:rFonts w:ascii="Times New Roman" w:hAnsi="Times New Roman"/>
                <w:bCs/>
                <w:szCs w:val="32"/>
                <w:u w:val="none"/>
              </w:rPr>
            </w:pPr>
            <w:r>
              <w:rPr>
                <w:rFonts w:ascii="Times New Roman" w:hAnsi="Times New Roman" w:eastAsia="方正楷体_GBK"/>
                <w:b/>
                <w:bCs/>
                <w:u w:val="none"/>
              </w:rPr>
              <w:t>专题32：公共数据资源授权运营</w:t>
            </w:r>
            <w:r>
              <w:rPr>
                <w:rFonts w:ascii="Times New Roman" w:hAnsi="Times New Roman" w:eastAsia="方正楷体_GBK"/>
                <w:b/>
                <w:bCs/>
                <w:szCs w:val="32"/>
                <w:u w:val="none"/>
              </w:rPr>
              <w:t>。</w:t>
            </w:r>
            <w:r>
              <w:rPr>
                <w:rFonts w:ascii="Times New Roman" w:hAnsi="Times New Roman"/>
                <w:bCs/>
                <w:szCs w:val="32"/>
                <w:u w:val="none"/>
                <w:lang w:eastAsia="zh"/>
              </w:rPr>
              <w:t>推动</w:t>
            </w:r>
            <w:r>
              <w:rPr>
                <w:rFonts w:ascii="Times New Roman" w:hAnsi="Times New Roman"/>
                <w:szCs w:val="32"/>
                <w:u w:val="none"/>
                <w:lang w:eastAsia="zh" w:bidi="ar"/>
              </w:rPr>
              <w:t>围绕</w:t>
            </w:r>
            <w:r>
              <w:rPr>
                <w:rFonts w:ascii="Times New Roman" w:hAnsi="Times New Roman"/>
                <w:szCs w:val="32"/>
                <w:u w:val="none"/>
                <w:lang w:bidi="ar"/>
              </w:rPr>
              <w:t>金融</w:t>
            </w:r>
            <w:r>
              <w:rPr>
                <w:rFonts w:ascii="Times New Roman" w:hAnsi="Times New Roman"/>
                <w:szCs w:val="32"/>
                <w:u w:val="none"/>
                <w:lang w:eastAsia="zh" w:bidi="ar"/>
              </w:rPr>
              <w:t>服务</w:t>
            </w:r>
            <w:r>
              <w:rPr>
                <w:rFonts w:ascii="Times New Roman" w:hAnsi="Times New Roman"/>
                <w:szCs w:val="32"/>
                <w:u w:val="none"/>
                <w:lang w:bidi="ar"/>
              </w:rPr>
              <w:t>、医疗</w:t>
            </w:r>
            <w:r>
              <w:rPr>
                <w:rFonts w:ascii="Times New Roman" w:hAnsi="Times New Roman"/>
                <w:szCs w:val="32"/>
                <w:u w:val="none"/>
                <w:lang w:eastAsia="zh" w:bidi="ar"/>
              </w:rPr>
              <w:t>健康</w:t>
            </w:r>
            <w:r>
              <w:rPr>
                <w:rFonts w:ascii="Times New Roman" w:hAnsi="Times New Roman"/>
                <w:szCs w:val="32"/>
                <w:u w:val="none"/>
                <w:lang w:bidi="ar"/>
              </w:rPr>
              <w:t>、交通</w:t>
            </w:r>
            <w:r>
              <w:rPr>
                <w:rFonts w:ascii="Times New Roman" w:hAnsi="Times New Roman"/>
                <w:szCs w:val="32"/>
                <w:u w:val="none"/>
                <w:lang w:eastAsia="zh" w:bidi="ar"/>
              </w:rPr>
              <w:t>运输、科学研究</w:t>
            </w:r>
            <w:r>
              <w:rPr>
                <w:rFonts w:ascii="Times New Roman" w:hAnsi="Times New Roman"/>
                <w:szCs w:val="32"/>
                <w:u w:val="none"/>
                <w:lang w:bidi="ar"/>
              </w:rPr>
              <w:t>等</w:t>
            </w:r>
            <w:r>
              <w:rPr>
                <w:rFonts w:ascii="Times New Roman" w:hAnsi="Times New Roman"/>
                <w:szCs w:val="32"/>
                <w:u w:val="none"/>
                <w:lang w:eastAsia="zh" w:bidi="ar"/>
              </w:rPr>
              <w:t>重点</w:t>
            </w:r>
            <w:r>
              <w:rPr>
                <w:rFonts w:ascii="Times New Roman" w:hAnsi="Times New Roman"/>
                <w:szCs w:val="32"/>
                <w:u w:val="none"/>
                <w:lang w:bidi="ar"/>
              </w:rPr>
              <w:t>领域开展</w:t>
            </w:r>
            <w:r>
              <w:rPr>
                <w:rFonts w:ascii="Times New Roman" w:hAnsi="Times New Roman"/>
                <w:szCs w:val="32"/>
                <w:u w:val="none"/>
                <w:lang w:eastAsia="zh" w:bidi="ar"/>
              </w:rPr>
              <w:t>公共数据资源授权运营，充分释放公共数据要素潜能，培育数字经济新动能</w:t>
            </w:r>
            <w:r>
              <w:rPr>
                <w:rFonts w:ascii="Times New Roman" w:hAnsi="Times New Roman"/>
                <w:szCs w:val="32"/>
                <w:u w:val="none"/>
                <w:lang w:bidi="ar"/>
              </w:rPr>
              <w:t xml:space="preserve">。  </w:t>
            </w:r>
          </w:p>
        </w:tc>
      </w:tr>
    </w:tbl>
    <w:p>
      <w:pPr>
        <w:keepNext/>
        <w:keepLines/>
        <w:suppressAutoHyphens/>
        <w:spacing w:line="588" w:lineRule="exact"/>
        <w:ind w:firstLineChars="0"/>
        <w:outlineLvl w:val="1"/>
        <w:rPr>
          <w:rFonts w:ascii="Times New Roman" w:hAnsi="Times New Roman" w:eastAsia="方正楷体_GBK"/>
          <w:szCs w:val="32"/>
          <w:u w:val="none"/>
          <w:lang w:eastAsia="zh"/>
        </w:rPr>
      </w:pPr>
      <w:bookmarkStart w:id="110" w:name="_Toc229651131"/>
      <w:bookmarkStart w:id="111" w:name="_Toc28406"/>
      <w:r>
        <w:rPr>
          <w:rFonts w:ascii="Times New Roman" w:hAnsi="Times New Roman" w:eastAsia="方正楷体_GBK"/>
          <w:szCs w:val="32"/>
          <w:u w:val="none"/>
          <w:lang w:eastAsia="zh"/>
        </w:rPr>
        <w:t>（二）深化数据基础制度建设</w:t>
      </w:r>
      <w:bookmarkEnd w:id="110"/>
      <w:bookmarkEnd w:id="111"/>
    </w:p>
    <w:p>
      <w:pPr>
        <w:suppressAutoHyphens/>
        <w:overflowPunct w:val="0"/>
        <w:spacing w:line="588" w:lineRule="exact"/>
        <w:ind w:firstLineChars="0"/>
        <w:rPr>
          <w:rFonts w:ascii="Times New Roman" w:hAnsi="Times New Roman"/>
          <w:szCs w:val="32"/>
          <w:u w:val="none"/>
          <w:lang w:eastAsia="zh" w:bidi="ar"/>
        </w:rPr>
      </w:pPr>
      <w:r>
        <w:rPr>
          <w:rFonts w:ascii="Times New Roman" w:hAnsi="Times New Roman"/>
          <w:szCs w:val="32"/>
          <w:u w:val="none"/>
          <w:lang w:bidi="ar"/>
        </w:rPr>
        <w:t>围绕</w:t>
      </w:r>
      <w:r>
        <w:rPr>
          <w:rFonts w:ascii="Times New Roman" w:hAnsi="Times New Roman"/>
          <w:szCs w:val="32"/>
          <w:u w:val="none"/>
          <w:lang w:eastAsia="zh" w:bidi="ar"/>
        </w:rPr>
        <w:t>数据资源、数据产品等各类形态数据</w:t>
      </w:r>
      <w:r>
        <w:rPr>
          <w:rFonts w:ascii="Times New Roman" w:hAnsi="Times New Roman"/>
          <w:szCs w:val="32"/>
          <w:u w:val="none"/>
          <w:lang w:bidi="ar"/>
        </w:rPr>
        <w:t>，建立</w:t>
      </w:r>
      <w:r>
        <w:rPr>
          <w:rFonts w:ascii="Times New Roman" w:hAnsi="Times New Roman"/>
          <w:szCs w:val="32"/>
          <w:u w:val="none"/>
          <w:lang w:eastAsia="zh" w:bidi="ar"/>
        </w:rPr>
        <w:t>持有权、使用权、经营权分置的产权运行机制</w:t>
      </w:r>
      <w:r>
        <w:rPr>
          <w:rFonts w:ascii="Times New Roman" w:hAnsi="Times New Roman"/>
          <w:szCs w:val="32"/>
          <w:u w:val="none"/>
          <w:lang w:bidi="ar"/>
        </w:rPr>
        <w:t>，</w:t>
      </w:r>
      <w:r>
        <w:rPr>
          <w:rFonts w:ascii="Times New Roman" w:hAnsi="Times New Roman"/>
          <w:szCs w:val="32"/>
          <w:u w:val="none"/>
          <w:lang w:eastAsia="zh" w:bidi="ar"/>
        </w:rPr>
        <w:t>推动形成层次分明、衔接有序的数据产权制度框架。全面贯彻落实国家数据产权登记制度，鼓励权利人开展数据产权登记，将登记凭证作为开展或参与数据要素流通交易、融资担保等活动的可信凭证。加快产权登记系统与国家平台互联互通，推动登记凭证跨区域互认。强化数据产权登记凭证对司法机关、行政机关进行事实认定、产权确认等的证明作用。</w:t>
      </w:r>
    </w:p>
    <w:p>
      <w:pPr>
        <w:keepNext/>
        <w:keepLines/>
        <w:suppressAutoHyphens/>
        <w:spacing w:line="588" w:lineRule="exact"/>
        <w:ind w:firstLineChars="0"/>
        <w:outlineLvl w:val="1"/>
        <w:rPr>
          <w:rFonts w:ascii="Times New Roman" w:hAnsi="Times New Roman" w:eastAsia="方正楷体_GBK"/>
          <w:szCs w:val="32"/>
          <w:u w:val="none"/>
          <w:lang w:eastAsia="zh"/>
        </w:rPr>
      </w:pPr>
      <w:bookmarkStart w:id="112" w:name="_Toc229651132"/>
      <w:bookmarkStart w:id="113" w:name="_Toc24077"/>
      <w:r>
        <w:rPr>
          <w:rFonts w:ascii="Times New Roman" w:hAnsi="Times New Roman" w:eastAsia="方正楷体_GBK"/>
          <w:szCs w:val="32"/>
          <w:u w:val="none"/>
          <w:lang w:eastAsia="zh"/>
        </w:rPr>
        <w:t>（三）健全数据流通交易体系</w:t>
      </w:r>
      <w:bookmarkEnd w:id="112"/>
      <w:bookmarkEnd w:id="113"/>
    </w:p>
    <w:p>
      <w:pPr>
        <w:suppressAutoHyphens/>
        <w:overflowPunct w:val="0"/>
        <w:spacing w:line="588" w:lineRule="exact"/>
        <w:rPr>
          <w:rFonts w:ascii="Times New Roman" w:hAnsi="Times New Roman"/>
          <w:szCs w:val="32"/>
          <w:u w:val="none"/>
          <w:lang w:eastAsia="zh" w:bidi="ar"/>
        </w:rPr>
      </w:pPr>
      <w:r>
        <w:rPr>
          <w:rFonts w:ascii="Times New Roman" w:hAnsi="Times New Roman"/>
          <w:szCs w:val="32"/>
          <w:u w:val="none"/>
          <w:lang w:eastAsia="zh" w:bidi="ar"/>
        </w:rPr>
        <w:t>健全数据要素流通交易标准体系</w:t>
      </w:r>
      <w:r>
        <w:rPr>
          <w:rFonts w:ascii="Times New Roman" w:hAnsi="Times New Roman"/>
          <w:szCs w:val="32"/>
          <w:u w:val="none"/>
          <w:lang w:bidi="ar"/>
        </w:rPr>
        <w:t>，</w:t>
      </w:r>
      <w:r>
        <w:rPr>
          <w:rFonts w:ascii="Times New Roman" w:hAnsi="Times New Roman"/>
          <w:szCs w:val="32"/>
          <w:u w:val="none"/>
          <w:lang w:eastAsia="zh" w:bidi="ar"/>
        </w:rPr>
        <w:t>鼓励数据交易平台、数据商、第三方服务机构、科研机构、行业协会等探索多样化、符合数据要素特性的定价模式、价格形成机制和收益分配机制。</w:t>
      </w:r>
      <w:r>
        <w:rPr>
          <w:rFonts w:ascii="Times New Roman" w:hAnsi="Times New Roman"/>
          <w:szCs w:val="32"/>
          <w:u w:val="none"/>
          <w:lang w:bidi="ar"/>
        </w:rPr>
        <w:t>完善</w:t>
      </w:r>
      <w:r>
        <w:rPr>
          <w:rFonts w:ascii="Times New Roman" w:hAnsi="Times New Roman"/>
          <w:szCs w:val="32"/>
          <w:u w:val="none"/>
          <w:lang w:eastAsia="zh" w:bidi="ar"/>
        </w:rPr>
        <w:t>交易中心产品上架挂牌、交付结算、交易存证等规则体系，推广</w:t>
      </w:r>
      <w:r>
        <w:rPr>
          <w:rFonts w:ascii="Times New Roman" w:hAnsi="Times New Roman"/>
          <w:szCs w:val="32"/>
          <w:u w:val="none"/>
          <w:lang w:bidi="ar"/>
        </w:rPr>
        <w:t>数据流通</w:t>
      </w:r>
      <w:r>
        <w:rPr>
          <w:rFonts w:ascii="Times New Roman" w:hAnsi="Times New Roman"/>
          <w:szCs w:val="32"/>
          <w:u w:val="none"/>
          <w:lang w:eastAsia="zh" w:bidi="ar"/>
        </w:rPr>
        <w:t>交易合同</w:t>
      </w:r>
      <w:r>
        <w:rPr>
          <w:rFonts w:ascii="Times New Roman" w:hAnsi="Times New Roman"/>
          <w:szCs w:val="32"/>
          <w:u w:val="none"/>
          <w:lang w:bidi="ar"/>
        </w:rPr>
        <w:t>示范文本</w:t>
      </w:r>
      <w:r>
        <w:rPr>
          <w:rFonts w:ascii="Times New Roman" w:hAnsi="Times New Roman"/>
          <w:szCs w:val="32"/>
          <w:u w:val="none"/>
          <w:lang w:eastAsia="zh" w:bidi="ar"/>
        </w:rPr>
        <w:t>，开展数据交易价格监测。探索数据产权登记系统与数据交易平台对接，打造“登记+交易”一站式服务模式。</w:t>
      </w:r>
      <w:r>
        <w:rPr>
          <w:rFonts w:ascii="Times New Roman" w:hAnsi="Times New Roman"/>
          <w:szCs w:val="32"/>
          <w:u w:val="none"/>
          <w:lang w:bidi="ar"/>
        </w:rPr>
        <w:t>推动数据交易机构</w:t>
      </w:r>
      <w:r>
        <w:rPr>
          <w:rFonts w:ascii="Times New Roman" w:hAnsi="Times New Roman"/>
          <w:szCs w:val="32"/>
          <w:u w:val="none"/>
          <w:lang w:eastAsia="zh" w:bidi="ar"/>
        </w:rPr>
        <w:t>积极融入</w:t>
      </w:r>
      <w:r>
        <w:rPr>
          <w:rFonts w:ascii="Times New Roman" w:hAnsi="Times New Roman"/>
          <w:szCs w:val="32"/>
          <w:u w:val="none"/>
          <w:lang w:bidi="ar"/>
        </w:rPr>
        <w:t>全国一体化数据市场</w:t>
      </w:r>
      <w:r>
        <w:rPr>
          <w:rFonts w:ascii="Times New Roman" w:hAnsi="Times New Roman"/>
          <w:szCs w:val="32"/>
          <w:u w:val="none"/>
          <w:lang w:eastAsia="zh" w:bidi="ar"/>
        </w:rPr>
        <w:t>，深化数据产品互认、交易标准衔接、合规互信。</w:t>
      </w:r>
      <w:r>
        <w:rPr>
          <w:rFonts w:ascii="Times New Roman" w:hAnsi="Times New Roman"/>
          <w:color w:val="000000"/>
          <w:szCs w:val="32"/>
          <w:u w:val="none"/>
          <w:lang w:bidi="ar"/>
        </w:rPr>
        <w:t>加快建设可信数据空间，探索建立数据交易平台与可信数据空间协同联动机制。</w:t>
      </w:r>
      <w:r>
        <w:rPr>
          <w:rFonts w:ascii="Times New Roman" w:hAnsi="Times New Roman"/>
          <w:szCs w:val="32"/>
          <w:u w:val="none"/>
          <w:lang w:bidi="ar"/>
        </w:rPr>
        <w:t>建立健全跨部门协同监管机制，推动网信、公安、数据、市场监管等部门开展数据流通联合执法</w:t>
      </w:r>
      <w:r>
        <w:rPr>
          <w:rFonts w:ascii="Times New Roman" w:hAnsi="Times New Roman"/>
          <w:szCs w:val="32"/>
          <w:u w:val="none"/>
          <w:lang w:eastAsia="zh" w:bidi="ar"/>
        </w:rPr>
        <w:t>。</w:t>
      </w:r>
    </w:p>
    <w:p>
      <w:pPr>
        <w:keepNext/>
        <w:keepLines/>
        <w:suppressAutoHyphens/>
        <w:spacing w:line="588" w:lineRule="exact"/>
        <w:ind w:firstLineChars="0"/>
        <w:outlineLvl w:val="1"/>
        <w:rPr>
          <w:rFonts w:ascii="Times New Roman" w:hAnsi="Times New Roman" w:eastAsia="方正楷体_GBK"/>
          <w:szCs w:val="32"/>
          <w:u w:val="none"/>
        </w:rPr>
      </w:pPr>
      <w:bookmarkStart w:id="114" w:name="_Toc32032"/>
      <w:bookmarkStart w:id="115" w:name="_Toc229651133"/>
      <w:r>
        <w:rPr>
          <w:rFonts w:ascii="Times New Roman" w:hAnsi="Times New Roman" w:eastAsia="方正楷体_GBK"/>
          <w:szCs w:val="32"/>
          <w:u w:val="none"/>
          <w:lang w:eastAsia="zh"/>
        </w:rPr>
        <w:t>（四）强化数据开发利用</w:t>
      </w:r>
      <w:bookmarkEnd w:id="114"/>
      <w:bookmarkEnd w:id="115"/>
    </w:p>
    <w:p>
      <w:pPr>
        <w:overflowPunct w:val="0"/>
        <w:spacing w:line="588" w:lineRule="exact"/>
        <w:rPr>
          <w:rFonts w:ascii="Times New Roman" w:hAnsi="Times New Roman"/>
          <w:szCs w:val="32"/>
          <w:u w:val="none"/>
        </w:rPr>
      </w:pPr>
      <w:r>
        <w:rPr>
          <w:rFonts w:ascii="Times New Roman" w:hAnsi="Times New Roman"/>
          <w:szCs w:val="32"/>
          <w:u w:val="none"/>
        </w:rPr>
        <w:t>鼓励大型企业、平台企业等加大数据供给。激发企业数据开发利用活力，支持企业数据跨行业、跨领域共享共用，鼓励企业数据与公共数据融合利用，推动数据资源向资产、资本转化</w:t>
      </w:r>
      <w:r>
        <w:rPr>
          <w:rFonts w:ascii="Times New Roman" w:hAnsi="Times New Roman"/>
          <w:bCs/>
          <w:kern w:val="0"/>
          <w:szCs w:val="32"/>
          <w:u w:val="none"/>
          <w:lang w:eastAsia="zh" w:bidi="ar"/>
        </w:rPr>
        <w:t>。</w:t>
      </w:r>
      <w:r>
        <w:rPr>
          <w:rFonts w:ascii="Times New Roman" w:hAnsi="Times New Roman"/>
          <w:szCs w:val="32"/>
          <w:u w:val="none"/>
        </w:rPr>
        <w:t>深入实施国有企业数据效能提升行动，推动央国企带头开放数据资源实现生态共创，支持行业龙头企业牵头共建行业可信数据空间，围绕智能网联新能源汽车、电子信息、先进材料等重点产业集群打造一批示范标杆。繁荣数据要素应用场景，纵深推进“数据要素×”行动，创新场景招商、数据赛事、模型与数据企业“结对子”等合作模式，培育形成一批具有全国影响力的示范场景</w:t>
      </w:r>
      <w:r>
        <w:rPr>
          <w:rFonts w:ascii="Times New Roman" w:hAnsi="Times New Roman"/>
          <w:szCs w:val="32"/>
          <w:u w:val="none"/>
          <w:lang w:eastAsia="zh"/>
        </w:rPr>
        <w:t>。支持企业开展数据资产质量和价值评估，加快企业数据资产入表。</w:t>
      </w:r>
      <w:r>
        <w:rPr>
          <w:rFonts w:ascii="Times New Roman" w:hAnsi="Times New Roman"/>
          <w:szCs w:val="32"/>
          <w:u w:val="none"/>
        </w:rPr>
        <w:t>积极探索数据资产</w:t>
      </w:r>
      <w:r>
        <w:rPr>
          <w:rFonts w:ascii="Times New Roman" w:hAnsi="Times New Roman"/>
          <w:szCs w:val="32"/>
          <w:u w:val="none"/>
          <w:lang w:eastAsia="zh"/>
        </w:rPr>
        <w:t>质押融资、保险、担保、</w:t>
      </w:r>
      <w:r>
        <w:rPr>
          <w:rFonts w:ascii="Times New Roman" w:hAnsi="Times New Roman"/>
          <w:szCs w:val="32"/>
          <w:u w:val="none"/>
        </w:rPr>
        <w:t>证券化等创新实践，充分释放数据资产金融价值。</w:t>
      </w:r>
    </w:p>
    <w:bookmarkEnd w:id="90"/>
    <w:bookmarkEnd w:id="91"/>
    <w:bookmarkEnd w:id="92"/>
    <w:bookmarkEnd w:id="106"/>
    <w:bookmarkEnd w:id="107"/>
    <w:p>
      <w:pPr>
        <w:keepNext/>
        <w:keepLines/>
        <w:spacing w:line="560" w:lineRule="exact"/>
        <w:jc w:val="left"/>
        <w:outlineLvl w:val="0"/>
        <w:rPr>
          <w:rFonts w:hint="eastAsia" w:ascii="Times New Roman" w:hAnsi="Times New Roman" w:eastAsia="方正黑体_GBK"/>
          <w:kern w:val="44"/>
          <w:szCs w:val="32"/>
          <w:u w:val="none"/>
        </w:rPr>
      </w:pPr>
      <w:bookmarkStart w:id="116" w:name="_Toc229651134"/>
      <w:bookmarkStart w:id="117" w:name="_Toc8398"/>
      <w:bookmarkStart w:id="118" w:name="_Toc227252643"/>
      <w:bookmarkStart w:id="119" w:name="_Toc220660308"/>
      <w:bookmarkStart w:id="120" w:name="_Toc223610211"/>
      <w:r>
        <w:rPr>
          <w:rFonts w:ascii="Times New Roman" w:hAnsi="Times New Roman" w:eastAsia="方正黑体_GBK"/>
          <w:kern w:val="44"/>
          <w:szCs w:val="32"/>
          <w:u w:val="none"/>
        </w:rPr>
        <w:t>七、深化数智领域开放合作</w:t>
      </w:r>
      <w:bookmarkEnd w:id="116"/>
      <w:bookmarkEnd w:id="117"/>
    </w:p>
    <w:p>
      <w:pPr>
        <w:spacing w:line="560" w:lineRule="exact"/>
        <w:rPr>
          <w:rFonts w:ascii="Times New Roman" w:hAnsi="Times New Roman"/>
          <w:u w:val="none"/>
        </w:rPr>
      </w:pPr>
      <w:r>
        <w:rPr>
          <w:rFonts w:ascii="Times New Roman" w:hAnsi="Times New Roman"/>
          <w:u w:val="none"/>
        </w:rPr>
        <w:t>充分发挥数智技术作用，建设新时代西部大开发重要战略支点和内陆开放综合枢纽，全面服务高水平对外开放和区域一体化高质量发展，加快构建内外联动、区域协同、开放共享的数字发展新格局。</w:t>
      </w:r>
    </w:p>
    <w:p>
      <w:pPr>
        <w:keepNext/>
        <w:keepLines/>
        <w:suppressAutoHyphens/>
        <w:spacing w:line="560" w:lineRule="exact"/>
        <w:outlineLvl w:val="1"/>
        <w:rPr>
          <w:rFonts w:ascii="Times New Roman" w:hAnsi="Times New Roman" w:eastAsia="方正楷体_GBK"/>
          <w:szCs w:val="32"/>
          <w:u w:val="none"/>
        </w:rPr>
      </w:pPr>
      <w:bookmarkStart w:id="121" w:name="_Toc229651135"/>
      <w:bookmarkStart w:id="122" w:name="_Toc8514"/>
      <w:r>
        <w:rPr>
          <w:rFonts w:ascii="Times New Roman" w:hAnsi="Times New Roman" w:eastAsia="方正楷体_GBK"/>
          <w:szCs w:val="32"/>
          <w:u w:val="none"/>
        </w:rPr>
        <w:t>（一）数智赋能西部陆海新通道建设</w:t>
      </w:r>
      <w:bookmarkEnd w:id="121"/>
      <w:bookmarkEnd w:id="122"/>
    </w:p>
    <w:p>
      <w:pPr>
        <w:overflowPunct w:val="0"/>
        <w:spacing w:line="588" w:lineRule="exact"/>
        <w:rPr>
          <w:rFonts w:ascii="Times New Roman" w:hAnsi="Times New Roman"/>
          <w:szCs w:val="32"/>
          <w:u w:val="none"/>
        </w:rPr>
      </w:pPr>
      <w:r>
        <w:rPr>
          <w:rFonts w:ascii="Times New Roman" w:hAnsi="Times New Roman"/>
          <w:szCs w:val="32"/>
          <w:u w:val="none"/>
        </w:rPr>
        <w:t>深化数字陆海新通道建设，加快推进国家物流数据开放互联试点和国家航运贸易数字化试点，打造航空物流、江铁海联运等重大应用场景，优化全链条一站式通道服务体系。加快建设陆海新通道金融服务中心，建设“跨境结算、融资增信、枢纽服务”综合枢纽数字金融服务平台，打通西部陆海新通道全域数字金融服务渠道。深化多式联运“一单制”改革，统一货物分类与运输标准，强化安检互信互认，上线综合枢纽数字金融服务平台数字提单融资应用场景，促进数字提单增信、融资、结算、保险协同发展。</w:t>
      </w:r>
    </w:p>
    <w:p>
      <w:pPr>
        <w:keepNext/>
        <w:keepLines/>
        <w:suppressAutoHyphens/>
        <w:spacing w:line="560" w:lineRule="exact"/>
        <w:outlineLvl w:val="1"/>
        <w:rPr>
          <w:rFonts w:ascii="Times New Roman" w:hAnsi="Times New Roman" w:eastAsia="方正楷体_GBK"/>
          <w:szCs w:val="32"/>
          <w:u w:val="none"/>
        </w:rPr>
      </w:pPr>
      <w:bookmarkStart w:id="123" w:name="_Toc21210"/>
      <w:bookmarkStart w:id="124" w:name="_Toc229651136"/>
      <w:r>
        <w:rPr>
          <w:rFonts w:ascii="Times New Roman" w:hAnsi="Times New Roman" w:eastAsia="方正楷体_GBK"/>
          <w:szCs w:val="32"/>
          <w:u w:val="none"/>
        </w:rPr>
        <w:t>（二）数智赋能成渝地区双城经济圈建设</w:t>
      </w:r>
      <w:bookmarkEnd w:id="123"/>
      <w:bookmarkEnd w:id="124"/>
    </w:p>
    <w:p>
      <w:pPr>
        <w:spacing w:line="560" w:lineRule="exact"/>
        <w:rPr>
          <w:rFonts w:hint="eastAsia" w:ascii="Times New Roman" w:hAnsi="Times New Roman" w:eastAsia="方正仿宋_GBK"/>
          <w:szCs w:val="32"/>
          <w:u w:val="none"/>
          <w:lang w:eastAsia="zh-CN"/>
        </w:rPr>
      </w:pPr>
      <w:r>
        <w:rPr>
          <w:rFonts w:ascii="Times New Roman" w:hAnsi="Times New Roman"/>
          <w:u w:val="none"/>
        </w:rPr>
        <w:t>深化全国一体化算力网络成渝枢纽节点建设，推动人工智能和“数字成渝”双向赋能，探索川渝算力、算法、数据、场景等资源协同联动，联合研发重点领域行业大模型和垂类智能体。健全“数字成渝”共建机制，联合构建政务服务、城市治理等重点领域高质量数据集，开放一批跨区域、跨领域综合性场景，探索构建跨区域城市智慧大脑与“双城”数字孪生体。协同建设数智领域概念验证中心，推动基于数字孪生与AI仿真的制造业中试平台建设，构建成渝共享“中试+”服务网络。深化低空空域协同管理改革，推进气象数据、航线数据等跨区域共享，支撑川渝低空物流、应急救援等应用发展。</w:t>
      </w:r>
      <w:r>
        <w:rPr>
          <w:rFonts w:hint="eastAsia" w:ascii="Times New Roman" w:hAnsi="Times New Roman"/>
          <w:u w:val="none"/>
          <w:lang w:eastAsia="zh-CN"/>
        </w:rPr>
        <w:t>强化川渝毗邻地区数据协作，关键数字协同治理场景，共育数字产业，支持川渝高竹新区数字化建设。</w:t>
      </w:r>
    </w:p>
    <w:p>
      <w:pPr>
        <w:keepNext/>
        <w:keepLines/>
        <w:suppressAutoHyphens/>
        <w:spacing w:line="560" w:lineRule="exact"/>
        <w:outlineLvl w:val="1"/>
        <w:rPr>
          <w:rFonts w:ascii="Times New Roman" w:hAnsi="Times New Roman" w:eastAsia="方正楷体_GBK"/>
          <w:szCs w:val="32"/>
          <w:u w:val="none"/>
        </w:rPr>
      </w:pPr>
      <w:bookmarkStart w:id="125" w:name="_Toc1253"/>
      <w:bookmarkStart w:id="126" w:name="_Toc229651137"/>
      <w:r>
        <w:rPr>
          <w:rFonts w:ascii="Times New Roman" w:hAnsi="Times New Roman" w:eastAsia="方正楷体_GBK"/>
          <w:szCs w:val="32"/>
          <w:u w:val="none"/>
        </w:rPr>
        <w:t>（三）数智赋能长江经济带高质量发展</w:t>
      </w:r>
      <w:bookmarkEnd w:id="125"/>
      <w:bookmarkEnd w:id="126"/>
    </w:p>
    <w:p>
      <w:pPr>
        <w:spacing w:line="560" w:lineRule="exact"/>
        <w:rPr>
          <w:rFonts w:ascii="Times New Roman" w:hAnsi="Times New Roman"/>
          <w:u w:val="none"/>
        </w:rPr>
      </w:pPr>
      <w:r>
        <w:rPr>
          <w:rFonts w:ascii="Times New Roman" w:hAnsi="Times New Roman"/>
          <w:u w:val="none"/>
        </w:rPr>
        <w:t>加快推进智慧航运平台建设，提升长江干线港口资源整合和一体化运营水平，推进“客运枢纽智治”等数字化综合场景落地。促进长江流域数字协同管理，围绕应急防灾、水环境治理等重点领域，以数智赋能沿江省市生态共保共治。迭代升级“长江绿融通”系统，推动数字金融服务长江经济带绿色低碳高质量发展。</w:t>
      </w:r>
    </w:p>
    <w:p>
      <w:pPr>
        <w:keepNext/>
        <w:keepLines/>
        <w:suppressAutoHyphens/>
        <w:spacing w:line="560" w:lineRule="exact"/>
        <w:outlineLvl w:val="1"/>
        <w:rPr>
          <w:rFonts w:ascii="Times New Roman" w:hAnsi="Times New Roman" w:eastAsia="方正楷体_GBK"/>
          <w:szCs w:val="32"/>
          <w:u w:val="none"/>
        </w:rPr>
      </w:pPr>
      <w:bookmarkStart w:id="127" w:name="_Toc229651138"/>
      <w:bookmarkStart w:id="128" w:name="_Toc15163"/>
      <w:r>
        <w:rPr>
          <w:rFonts w:ascii="Times New Roman" w:hAnsi="Times New Roman" w:eastAsia="方正楷体_GBK"/>
          <w:szCs w:val="32"/>
          <w:u w:val="none"/>
        </w:rPr>
        <w:t>（四）数智赋能中新合作提档升级</w:t>
      </w:r>
      <w:bookmarkEnd w:id="127"/>
      <w:bookmarkEnd w:id="128"/>
    </w:p>
    <w:p>
      <w:pPr>
        <w:spacing w:line="560" w:lineRule="exact"/>
        <w:jc w:val="left"/>
        <w:rPr>
          <w:rFonts w:ascii="Times New Roman" w:hAnsi="Times New Roman"/>
          <w:bCs/>
          <w:color w:val="000000"/>
          <w:u w:val="none"/>
        </w:rPr>
      </w:pPr>
      <w:r>
        <w:rPr>
          <w:rFonts w:ascii="Times New Roman" w:hAnsi="Times New Roman"/>
          <w:bCs/>
          <w:color w:val="000000"/>
          <w:u w:val="none"/>
        </w:rPr>
        <w:t>深化中新数智领域合作，持续强化数字基础设施互联互通。拓展中新两国国际数据通道应用，加强跨境金融、国际物流、跨境电商、跨境直播、数字内容等领域应用。探索建立跨境可信数据空间，推进数据高效便利安全跨境流动。加快推动数字规则与标准协同互认，加强两国在数据、人工智能应用等领域标准合作。探索跨境算力合作，推动算法、模型在工业、交通、教育、医疗的融合应用创新。深化中新数字金融合作，加快建设渝新跨境电商数字金融服务平台，推广“中新数币+”跨境结算模式，更好地服务两国企业经营。</w:t>
      </w:r>
    </w:p>
    <w:p>
      <w:pPr>
        <w:keepNext/>
        <w:keepLines/>
        <w:spacing w:line="560" w:lineRule="exact"/>
        <w:jc w:val="left"/>
        <w:outlineLvl w:val="0"/>
        <w:rPr>
          <w:rFonts w:ascii="Times New Roman" w:hAnsi="Times New Roman" w:eastAsia="方正黑体_GBK"/>
          <w:kern w:val="44"/>
          <w:szCs w:val="32"/>
          <w:u w:val="none"/>
        </w:rPr>
      </w:pPr>
      <w:bookmarkStart w:id="129" w:name="_Toc4105"/>
      <w:bookmarkStart w:id="130" w:name="_Toc229651139"/>
      <w:r>
        <w:rPr>
          <w:rFonts w:ascii="Times New Roman" w:hAnsi="Times New Roman" w:eastAsia="方正黑体_GBK"/>
          <w:kern w:val="44"/>
          <w:szCs w:val="32"/>
          <w:u w:val="none"/>
        </w:rPr>
        <w:t>八、强化数智人才队伍建设</w:t>
      </w:r>
      <w:bookmarkEnd w:id="129"/>
      <w:bookmarkEnd w:id="130"/>
    </w:p>
    <w:p>
      <w:pPr>
        <w:spacing w:line="560" w:lineRule="exact"/>
        <w:rPr>
          <w:rFonts w:ascii="Times New Roman" w:hAnsi="Times New Roman"/>
          <w:bCs/>
          <w:color w:val="000000"/>
          <w:u w:val="none"/>
        </w:rPr>
      </w:pPr>
      <w:r>
        <w:rPr>
          <w:rFonts w:ascii="Times New Roman" w:hAnsi="Times New Roman"/>
          <w:bCs/>
          <w:color w:val="000000"/>
          <w:u w:val="none"/>
        </w:rPr>
        <w:t>优化数智人才培育发展，健全人才评价激励体系，强化高端人才引进交流，建强平台载体与产业生态，加快打造高素质专业化数智人才队伍，为数字重庆建设提供坚实人才支撑。</w:t>
      </w:r>
    </w:p>
    <w:p>
      <w:pPr>
        <w:keepNext/>
        <w:keepLines/>
        <w:suppressAutoHyphens/>
        <w:spacing w:line="560" w:lineRule="exact"/>
        <w:outlineLvl w:val="1"/>
        <w:rPr>
          <w:rFonts w:ascii="Times New Roman" w:hAnsi="Times New Roman" w:eastAsia="方正楷体_GBK"/>
          <w:bCs/>
          <w:szCs w:val="32"/>
          <w:u w:val="none"/>
        </w:rPr>
      </w:pPr>
      <w:bookmarkStart w:id="131" w:name="_Toc21151"/>
      <w:bookmarkStart w:id="132" w:name="_Toc229651140"/>
      <w:r>
        <w:rPr>
          <w:rFonts w:ascii="Times New Roman" w:hAnsi="Times New Roman" w:eastAsia="方正楷体_GBK"/>
          <w:bCs/>
          <w:szCs w:val="32"/>
          <w:u w:val="none"/>
        </w:rPr>
        <w:t>（一）建立数智人才培养新模式</w:t>
      </w:r>
      <w:bookmarkEnd w:id="131"/>
      <w:bookmarkEnd w:id="132"/>
    </w:p>
    <w:p>
      <w:pPr>
        <w:spacing w:line="560" w:lineRule="exact"/>
        <w:rPr>
          <w:rFonts w:ascii="Times New Roman" w:hAnsi="Times New Roman"/>
          <w:color w:val="000000"/>
          <w:u w:val="none"/>
        </w:rPr>
      </w:pPr>
      <w:r>
        <w:rPr>
          <w:rFonts w:ascii="Times New Roman" w:hAnsi="Times New Roman"/>
          <w:color w:val="000000"/>
          <w:u w:val="none"/>
        </w:rPr>
        <w:t>聚焦数字化智能化需求，健全新兴学科专业动态调整机制，常态化征集企业紧缺岗位清单，引导高校按需增设微专业和特色方向。构建分层分类人才培养体系，推动各类院校差异化培养研究型、技术型数智人才，强化职业技能培训与提升，加快培养产业复合型人才。强化创业载体配套保障，以赛事创投赋能数智人才创新创业发展。</w:t>
      </w:r>
    </w:p>
    <w:p>
      <w:pPr>
        <w:keepNext/>
        <w:keepLines/>
        <w:suppressAutoHyphens/>
        <w:spacing w:line="560" w:lineRule="exact"/>
        <w:outlineLvl w:val="1"/>
        <w:rPr>
          <w:rFonts w:ascii="Times New Roman" w:hAnsi="Times New Roman" w:eastAsia="方正楷体_GBK"/>
          <w:bCs/>
          <w:szCs w:val="32"/>
          <w:u w:val="none"/>
        </w:rPr>
      </w:pPr>
      <w:bookmarkStart w:id="133" w:name="_Toc229651141"/>
      <w:bookmarkStart w:id="134" w:name="_Toc3719"/>
      <w:r>
        <w:rPr>
          <w:rFonts w:ascii="Times New Roman" w:hAnsi="Times New Roman" w:eastAsia="方正楷体_GBK"/>
          <w:bCs/>
          <w:szCs w:val="32"/>
          <w:u w:val="none"/>
        </w:rPr>
        <w:t>（二）优化人才综合激励机制</w:t>
      </w:r>
      <w:bookmarkEnd w:id="133"/>
      <w:bookmarkEnd w:id="134"/>
    </w:p>
    <w:p>
      <w:pPr>
        <w:spacing w:line="560" w:lineRule="exact"/>
        <w:rPr>
          <w:rFonts w:ascii="Times New Roman" w:hAnsi="Times New Roman"/>
          <w:color w:val="000000"/>
          <w:u w:val="none"/>
        </w:rPr>
      </w:pPr>
      <w:r>
        <w:rPr>
          <w:rFonts w:ascii="Times New Roman" w:hAnsi="Times New Roman"/>
          <w:color w:val="000000"/>
          <w:u w:val="none"/>
        </w:rPr>
        <w:t>完善数字技术职业技能认证体系，畅通高技能人才与专业技术人才职业发展贯通渠道。优化收入分配激励机制，支持高校、科研院所通过特设岗位精准引进急需紧缺高层次数智人才。健全双聘双用人才共享机制，打通高水平数智人才院企、校企双向流动通道。优化数智人才综合服务保障体系，在安居落户、子女入学等重点领域打造一站式服务绿色通道。</w:t>
      </w:r>
    </w:p>
    <w:p>
      <w:pPr>
        <w:keepNext/>
        <w:keepLines/>
        <w:suppressAutoHyphens/>
        <w:spacing w:line="560" w:lineRule="exact"/>
        <w:outlineLvl w:val="1"/>
        <w:rPr>
          <w:rFonts w:ascii="Times New Roman" w:hAnsi="Times New Roman" w:eastAsia="方正楷体_GBK"/>
          <w:szCs w:val="32"/>
          <w:u w:val="none"/>
        </w:rPr>
      </w:pPr>
      <w:bookmarkStart w:id="135" w:name="_Toc15296"/>
      <w:bookmarkStart w:id="136" w:name="_Toc229651142"/>
      <w:r>
        <w:rPr>
          <w:rFonts w:ascii="Times New Roman" w:hAnsi="Times New Roman" w:eastAsia="方正楷体_GBK"/>
          <w:bCs/>
          <w:szCs w:val="32"/>
          <w:u w:val="none"/>
        </w:rPr>
        <w:t>（三）强化数智人才引进合作</w:t>
      </w:r>
      <w:bookmarkEnd w:id="135"/>
      <w:bookmarkEnd w:id="136"/>
    </w:p>
    <w:p>
      <w:pPr>
        <w:spacing w:line="560" w:lineRule="exact"/>
        <w:rPr>
          <w:rFonts w:ascii="Times New Roman" w:hAnsi="Times New Roman"/>
          <w:color w:val="000000"/>
          <w:u w:val="none"/>
        </w:rPr>
      </w:pPr>
      <w:r>
        <w:rPr>
          <w:rFonts w:ascii="Times New Roman" w:hAnsi="Times New Roman"/>
          <w:color w:val="000000"/>
          <w:u w:val="none"/>
        </w:rPr>
        <w:t>聚焦数智关键核心领域，靶向招引国内外数字化高端顶尖人才。创新柔性引才模式，支持海外人才通过远程协作、短期驻留等方式服务重庆经济社会高质量发展。深化国际人才交流与科技合作，鼓励龙头企业对接国际顶尖机构，开展联合研修、学术交流和技术攻关。建立数智领域专家人才库，集聚行业领军人才、技术骨干及高校专家智库力量，充分释放高端人才智力赋能与决策支撑作用。</w:t>
      </w:r>
    </w:p>
    <w:p>
      <w:pPr>
        <w:keepNext/>
        <w:keepLines/>
        <w:suppressAutoHyphens/>
        <w:spacing w:line="560" w:lineRule="exact"/>
        <w:outlineLvl w:val="1"/>
        <w:rPr>
          <w:rFonts w:ascii="Times New Roman" w:hAnsi="Times New Roman" w:eastAsia="方正楷体_GBK"/>
          <w:bCs/>
          <w:szCs w:val="32"/>
          <w:u w:val="none"/>
        </w:rPr>
      </w:pPr>
      <w:bookmarkStart w:id="137" w:name="_Toc3441"/>
      <w:bookmarkStart w:id="138" w:name="_Toc229651143"/>
      <w:r>
        <w:rPr>
          <w:rFonts w:ascii="Times New Roman" w:hAnsi="Times New Roman" w:eastAsia="方正楷体_GBK"/>
          <w:bCs/>
          <w:szCs w:val="32"/>
          <w:u w:val="none"/>
        </w:rPr>
        <w:t>（四）构建数智人才发展新平台</w:t>
      </w:r>
      <w:bookmarkEnd w:id="137"/>
      <w:bookmarkEnd w:id="138"/>
    </w:p>
    <w:p>
      <w:pPr>
        <w:spacing w:line="560" w:lineRule="exact"/>
        <w:rPr>
          <w:rFonts w:ascii="Times New Roman" w:hAnsi="Times New Roman"/>
          <w:color w:val="000000"/>
          <w:u w:val="none"/>
        </w:rPr>
      </w:pPr>
      <w:r>
        <w:rPr>
          <w:rFonts w:ascii="Times New Roman" w:hAnsi="Times New Roman"/>
          <w:color w:val="000000"/>
          <w:u w:val="none"/>
        </w:rPr>
        <w:t>充分发挥“两院一湾”牵引作用，加快构建“政产学研用金”一体化创新发展生态。支持政府、企业、服务商、金融机构等多方协同，以产教联合体、产业联盟等组织形式深化合作。加大创业金融支持，助力数智人才创新创业。充分发挥数智人才支撑效能，为传统企业提供“智改数转”诊断指导服务，推动数智人才与产业发展深度融合。研究组建人工智能产业发展引导基金，引进培育AI龙头企业和领军人才。</w:t>
      </w:r>
    </w:p>
    <w:p>
      <w:pPr>
        <w:keepNext/>
        <w:keepLines/>
        <w:spacing w:line="560" w:lineRule="exact"/>
        <w:jc w:val="left"/>
        <w:outlineLvl w:val="0"/>
        <w:rPr>
          <w:rFonts w:ascii="Times New Roman" w:hAnsi="Times New Roman" w:eastAsia="方正黑体_GBK"/>
          <w:kern w:val="44"/>
          <w:szCs w:val="32"/>
          <w:u w:val="none"/>
        </w:rPr>
      </w:pPr>
      <w:bookmarkStart w:id="139" w:name="_Toc229651144"/>
      <w:bookmarkStart w:id="140" w:name="_Toc22458"/>
      <w:r>
        <w:rPr>
          <w:rFonts w:ascii="Times New Roman" w:hAnsi="Times New Roman" w:eastAsia="方正黑体_GBK"/>
          <w:kern w:val="44"/>
          <w:u w:val="none"/>
        </w:rPr>
        <w:t>九、保障措施</w:t>
      </w:r>
      <w:bookmarkEnd w:id="139"/>
      <w:bookmarkEnd w:id="140"/>
    </w:p>
    <w:p>
      <w:pPr>
        <w:keepNext/>
        <w:keepLines/>
        <w:suppressAutoHyphens/>
        <w:spacing w:line="560" w:lineRule="exact"/>
        <w:outlineLvl w:val="1"/>
        <w:rPr>
          <w:rFonts w:ascii="Times New Roman" w:hAnsi="Times New Roman" w:eastAsia="方正楷体_GBK"/>
          <w:bCs/>
          <w:szCs w:val="32"/>
          <w:u w:val="none"/>
        </w:rPr>
      </w:pPr>
      <w:bookmarkStart w:id="141" w:name="_Toc229651145"/>
      <w:bookmarkStart w:id="142" w:name="_Toc6269"/>
      <w:r>
        <w:rPr>
          <w:rFonts w:ascii="Times New Roman" w:hAnsi="Times New Roman" w:eastAsia="方正楷体_GBK"/>
          <w:bCs/>
          <w:szCs w:val="32"/>
          <w:u w:val="none"/>
        </w:rPr>
        <w:t>（一）强化组织领导</w:t>
      </w:r>
      <w:bookmarkEnd w:id="141"/>
      <w:bookmarkEnd w:id="142"/>
    </w:p>
    <w:p>
      <w:pPr>
        <w:topLinePunct/>
        <w:adjustRightInd w:val="0"/>
        <w:snapToGrid w:val="0"/>
        <w:spacing w:line="560" w:lineRule="exact"/>
        <w:rPr>
          <w:rFonts w:ascii="Times New Roman" w:hAnsi="Times New Roman"/>
          <w:color w:val="000000"/>
          <w:szCs w:val="32"/>
          <w:u w:val="none"/>
        </w:rPr>
      </w:pPr>
      <w:r>
        <w:rPr>
          <w:rFonts w:ascii="Times New Roman" w:hAnsi="Times New Roman"/>
          <w:color w:val="000000"/>
          <w:szCs w:val="32"/>
          <w:u w:val="none"/>
        </w:rPr>
        <w:t>发挥数字重庆建设领导小组统领推动作用，健全年度总结和中期评估机制，定期开展规划实施情况评估，加强对数字重庆建设的督促检查。</w:t>
      </w:r>
    </w:p>
    <w:p>
      <w:pPr>
        <w:keepNext/>
        <w:keepLines/>
        <w:suppressAutoHyphens/>
        <w:spacing w:line="560" w:lineRule="exact"/>
        <w:outlineLvl w:val="1"/>
        <w:rPr>
          <w:rFonts w:ascii="Times New Roman" w:hAnsi="Times New Roman" w:eastAsia="方正楷体_GBK"/>
          <w:bCs/>
          <w:szCs w:val="32"/>
          <w:u w:val="none"/>
        </w:rPr>
      </w:pPr>
      <w:bookmarkStart w:id="143" w:name="_Toc7759"/>
      <w:bookmarkStart w:id="144" w:name="_Toc229651146"/>
      <w:r>
        <w:rPr>
          <w:rFonts w:ascii="Times New Roman" w:hAnsi="Times New Roman" w:eastAsia="方正楷体_GBK"/>
          <w:bCs/>
          <w:szCs w:val="32"/>
          <w:u w:val="none"/>
        </w:rPr>
        <w:t>（二）强化责任落实</w:t>
      </w:r>
      <w:bookmarkEnd w:id="143"/>
      <w:bookmarkEnd w:id="144"/>
    </w:p>
    <w:p>
      <w:pPr>
        <w:topLinePunct/>
        <w:adjustRightInd w:val="0"/>
        <w:snapToGrid w:val="0"/>
        <w:spacing w:line="560" w:lineRule="exact"/>
        <w:rPr>
          <w:rFonts w:ascii="Times New Roman" w:hAnsi="Times New Roman"/>
          <w:color w:val="000000"/>
          <w:szCs w:val="32"/>
          <w:u w:val="none"/>
        </w:rPr>
      </w:pPr>
      <w:r>
        <w:rPr>
          <w:rFonts w:ascii="Times New Roman" w:hAnsi="Times New Roman"/>
          <w:color w:val="000000"/>
          <w:szCs w:val="32"/>
          <w:u w:val="none"/>
        </w:rPr>
        <w:t>落实各领域核心业务数字化主体责任，各级牵头部门做好统筹，迭代优化六大系统、八大板块数字化应用，提质打造AI+综合场景，全面提升数智化履职能力。</w:t>
      </w:r>
    </w:p>
    <w:p>
      <w:pPr>
        <w:keepNext/>
        <w:keepLines/>
        <w:suppressAutoHyphens/>
        <w:spacing w:line="560" w:lineRule="exact"/>
        <w:outlineLvl w:val="1"/>
        <w:rPr>
          <w:rFonts w:ascii="Times New Roman" w:hAnsi="Times New Roman" w:eastAsia="方正楷体_GBK"/>
          <w:bCs/>
          <w:szCs w:val="32"/>
          <w:u w:val="none"/>
        </w:rPr>
      </w:pPr>
      <w:bookmarkStart w:id="145" w:name="_Toc32701"/>
      <w:bookmarkStart w:id="146" w:name="_Toc229651147"/>
      <w:r>
        <w:rPr>
          <w:rFonts w:ascii="Times New Roman" w:hAnsi="Times New Roman" w:eastAsia="方正楷体_GBK"/>
          <w:bCs/>
          <w:szCs w:val="32"/>
          <w:u w:val="none"/>
        </w:rPr>
        <w:t>（三）强化要素保障</w:t>
      </w:r>
      <w:bookmarkEnd w:id="145"/>
      <w:bookmarkEnd w:id="146"/>
    </w:p>
    <w:p>
      <w:pPr>
        <w:suppressAutoHyphens/>
        <w:topLinePunct/>
        <w:adjustRightInd w:val="0"/>
        <w:snapToGrid w:val="0"/>
        <w:spacing w:line="560" w:lineRule="exact"/>
        <w:rPr>
          <w:rFonts w:ascii="Times New Roman" w:hAnsi="Times New Roman"/>
          <w:color w:val="000000"/>
          <w:szCs w:val="32"/>
          <w:u w:val="none"/>
        </w:rPr>
      </w:pPr>
      <w:r>
        <w:rPr>
          <w:rFonts w:ascii="Times New Roman" w:hAnsi="Times New Roman"/>
          <w:color w:val="000000"/>
          <w:szCs w:val="32"/>
          <w:u w:val="none"/>
        </w:rPr>
        <w:t>加大对数字重庆建设的财政资金投入，积极吸引各类社会资本投入，发挥投贷债的作用，强化数字重庆建设资金保障。强化数智领域企业在用地、用能、用数等关键要素的保障。</w:t>
      </w:r>
      <w:bookmarkEnd w:id="118"/>
      <w:bookmarkEnd w:id="119"/>
      <w:bookmarkEnd w:id="120"/>
    </w:p>
    <w:p>
      <w:pPr>
        <w:ind w:left="0" w:leftChars="0" w:firstLine="0" w:firstLineChars="0"/>
      </w:pPr>
      <w:bookmarkStart w:id="147" w:name="_GoBack"/>
      <w:bookmarkEnd w:id="147"/>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88" w:lineRule="exact"/>
      <w:ind w:firstLine="360"/>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2</w:t>
    </w:r>
    <w:r>
      <w:rPr>
        <w:rFonts w:ascii="Times New Roman" w:hAnsi="Times New Roman"/>
        <w:sz w:val="18"/>
        <w:szCs w:val="18"/>
      </w:rPr>
      <w:fldChar w:fldCharType="end"/>
    </w:r>
  </w:p>
  <w:p>
    <w:pPr>
      <w:tabs>
        <w:tab w:val="center" w:pos="4153"/>
        <w:tab w:val="right" w:pos="8306"/>
      </w:tabs>
      <w:snapToGrid w:val="0"/>
      <w:spacing w:line="588" w:lineRule="exact"/>
      <w:ind w:firstLine="360"/>
      <w:jc w:val="left"/>
      <w:rPr>
        <w:rFonts w:ascii="Times New Roman"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88" w:lineRule="exact"/>
      <w:ind w:firstLine="360"/>
      <w:jc w:val="left"/>
      <w:rPr>
        <w:rFonts w:ascii="Times New Roman"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88" w:lineRule="exact"/>
      <w:ind w:firstLine="360"/>
      <w:jc w:val="left"/>
      <w:rPr>
        <w:rFonts w:ascii="Times New Roman" w:hAnsi="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uppressAutoHyphens/>
      <w:snapToGrid w:val="0"/>
      <w:spacing w:line="588" w:lineRule="exact"/>
      <w:ind w:firstLine="360"/>
      <w:jc w:val="left"/>
      <w:rPr>
        <w:sz w:val="18"/>
      </w:rPr>
    </w:pPr>
    <w:r>
      <w:rPr>
        <w:rFonts w:ascii="Times New Roman" w:hAnsi="Times New Roman"/>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445135" cy="230505"/>
              <wp:effectExtent l="0" t="0" r="0" b="0"/>
              <wp:wrapNone/>
              <wp:docPr id="1695585721" name="文本框 169558572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tabs>
                              <w:tab w:val="center" w:pos="4153"/>
                              <w:tab w:val="right" w:pos="8306"/>
                            </w:tabs>
                            <w:snapToGrid w:val="0"/>
                            <w:spacing w:line="588" w:lineRule="exact"/>
                            <w:ind w:firstLine="56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824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vOISfRAAAAAwEAAA8AAAAAAAAAAQAgAAAAIgAAAGRycy9kb3ducmV2LnhtbFBL&#10;AQIUABQAAAAIAIdO4kBU2lkr/QEAANQDAAAOAAAAAAAAAAEAIAAAACABAABkcnMvZTJvRG9jLnht&#10;bFBLBQYAAAAABgAGAFkBAACPBQAAAAA=&#10;">
              <v:path/>
              <v:fill on="f" focussize="0,0"/>
              <v:stroke on="f"/>
              <v:imagedata o:title=""/>
              <o:lock v:ext="edit" aspectratio="f"/>
              <v:textbox inset="0mm,0mm,0mm,0mm" style="mso-fit-shape-to-text:t;">
                <w:txbxContent>
                  <w:p>
                    <w:pPr>
                      <w:tabs>
                        <w:tab w:val="center" w:pos="4153"/>
                        <w:tab w:val="right" w:pos="8306"/>
                      </w:tabs>
                      <w:snapToGrid w:val="0"/>
                      <w:spacing w:line="588" w:lineRule="exact"/>
                      <w:ind w:firstLine="560"/>
                      <w:jc w:val="left"/>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88" w:lineRule="exact"/>
      <w:ind w:firstLine="360"/>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spacing w:line="588" w:lineRule="exact"/>
      <w:ind w:firstLine="360"/>
      <w:jc w:val="center"/>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line="588" w:lineRule="exact"/>
      <w:ind w:firstLine="360"/>
      <w:jc w:val="center"/>
      <w:rPr>
        <w:rFonts w:ascii="Times New Roman" w:hAnsi="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240" w:lineRule="atLeast"/>
      <w:ind w:firstLine="36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D34E3C"/>
    <w:rsid w:val="36D34E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94" w:lineRule="exact"/>
      <w:ind w:firstLine="640" w:firstLineChars="200"/>
      <w:jc w:val="both"/>
    </w:pPr>
    <w:rPr>
      <w:rFonts w:ascii="Calibri" w:hAnsi="Calibri" w:eastAsia="方正仿宋_GBK" w:cs="Times New Roman"/>
      <w:kern w:val="2"/>
      <w:sz w:val="32"/>
      <w:szCs w:val="24"/>
      <w:lang w:val="en-US" w:eastAsia="zh-CN" w:bidi="ar-SA"/>
    </w:rPr>
  </w:style>
  <w:style w:type="paragraph" w:styleId="2">
    <w:name w:val="heading 1"/>
    <w:basedOn w:val="1"/>
    <w:next w:val="1"/>
    <w:qFormat/>
    <w:uiPriority w:val="0"/>
    <w:pPr>
      <w:keepNext/>
      <w:keepLines/>
      <w:spacing w:line="594" w:lineRule="exact"/>
      <w:ind w:firstLine="0" w:firstLineChars="0"/>
      <w:jc w:val="center"/>
      <w:outlineLvl w:val="0"/>
    </w:pPr>
    <w:rPr>
      <w:rFonts w:ascii="方正小标宋_GBK" w:hAnsi="方正小标宋_GBK" w:eastAsia="方正小标宋_GBK"/>
      <w:color w:val="000000"/>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napToGrid w:val="0"/>
      <w:jc w:val="left"/>
    </w:pPr>
    <w:rPr>
      <w:sz w:val="18"/>
    </w:rPr>
  </w:style>
  <w:style w:type="paragraph" w:styleId="4">
    <w:name w:val="toc 1"/>
    <w:basedOn w:val="1"/>
    <w:next w:val="1"/>
    <w:uiPriority w:val="39"/>
  </w:style>
  <w:style w:type="paragraph" w:styleId="5">
    <w:name w:val="toc 2"/>
    <w:basedOn w:val="1"/>
    <w:next w:val="1"/>
    <w:uiPriority w:val="39"/>
    <w:pPr>
      <w:ind w:left="420" w:leftChars="200"/>
    </w:pPr>
  </w:style>
  <w:style w:type="character" w:styleId="8">
    <w:name w:val="Hyperlink"/>
    <w:unhideWhenUsed/>
    <w:uiPriority w:val="99"/>
    <w:rPr>
      <w:color w:val="0563C1"/>
      <w:u w:val="single"/>
    </w:rPr>
  </w:style>
  <w:style w:type="paragraph" w:customStyle="1" w:styleId="9">
    <w:name w:val="TOC 标题1"/>
    <w:basedOn w:val="2"/>
    <w:next w:val="1"/>
    <w:unhideWhenUsed/>
    <w:qFormat/>
    <w:uiPriority w:val="39"/>
    <w:pPr>
      <w:widowControl/>
      <w:spacing w:after="0" w:line="259" w:lineRule="auto"/>
      <w:jc w:val="left"/>
      <w:outlineLvl w:val="9"/>
    </w:pPr>
    <w:rPr>
      <w:rFonts w:ascii="Cambria" w:hAnsi="Cambria" w:eastAsia="宋体" w:cs="Times New Roman"/>
      <w:color w:val="366091"/>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2026-05-14T10:52:00Z</dcterms:created>
  <dc:creator>hp</dc:creator>
  <cp:lastModifiedBy>hp</cp:lastModifiedBy>
  <dcterms:modified xsi:type="dcterms:W3CDTF">2026-05-14T10:53:30Z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