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jc w:val="left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中新（重庆）国际互联网数据专用通道简介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中新（重庆）国际互联网数据专用通道（以下简称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中新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"/>
        </w:rPr>
        <w:t>国际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数据通道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）是贯彻落实共建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一带一路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、长江经济带、西部大开发等战略的重要载体，是中新互联互通项目的重要标志性项目，是国家规划建设西部陆海新通道的信息高速路，是中国首条、面向单一国家、点对点的国际数据专用通道。中新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"/>
        </w:rPr>
        <w:t>国际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数据通道是从重庆经广州、香港到新加坡的直达数据链路，由中国电信、移动、联通三大运营商与新加坡电信、星和电信联合建设运营。一期建设带宽260 Gbps，时延约为70-80毫秒，比互联网降低75%；丢包率约为0.5%，比互联网降低80%，高速率、大带宽、低时延、高可靠的优势明显。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2019年2月12日，中新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"/>
        </w:rPr>
        <w:t>国际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数据通道获得国家工业和信息化部批复启动建设，9月11日在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"/>
        </w:rPr>
        <w:t>中共中央政治局委员、重庆市委书记陈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敏尔和新加坡贸工部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"/>
        </w:rPr>
        <w:t>部长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陈振声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"/>
        </w:rPr>
        <w:t>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共同见证下正式开通，首批应用企业签约。2019年11月21日，首届中新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"/>
        </w:rPr>
        <w:t>国际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数据通道发展论坛开幕。2020年5月12日，中新（重庆）互联互通示范项目联合实施委员会（JIC）第五次会议应用中新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"/>
        </w:rPr>
        <w:t>国际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数据通道、召开视频会议，双方就深化通道建设，推动形成良好示范效应达成共识。2020年9月15日，第二届中新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"/>
        </w:rPr>
        <w:t>国际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数据通道论坛成功举办，依托通道创新开展线上致辞、线上签约、线上对话、线上访谈等活动，充分展示了通道优越性能和示范效应，受到人民网、新华社、腾讯网、重庆日报等广泛报道和好评。新加坡资讯通信媒体发展局柳俊泓局长在专访中表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数秒钟建立连接让新加坡和重庆合作更加紧密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中新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"/>
        </w:rPr>
        <w:t>国际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数据通道开通以来，已有两江新区数字经济产业园、渝北区仙桃国际大数据谷、中国智谷（重庆）科技园、渝中区区块链产业创新基地、西永微电子产业园区、永川大数据产业园、移动互联网产业园等七大园区陆续接入。腾讯科技、寰球超算、万国数据、海扶医疗、传晟酷德、医渡云等50余家中新龙头企业签订通道租用协议或基于通道开展合作，依托中新国际数据通道已启动远程医疗、智慧教育、智慧交通、高清视频等数十个领域的智能创新应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特别是今年疫情期间，中新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"/>
        </w:rPr>
        <w:t>国际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数据通道为渝新双方企业提供了稳定可靠的合作交流平台，将3000多公里缩短为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一张屏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的距离，让企业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足不出户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就可以开展国际合作、项目洽谈和线上签约，促成了200余家企业、2000多人次的跨国交流和合作对接，为重庆市建设内陆开放高地提供了重要支撑。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cols w:space="0" w:num="1"/>
          <w:rtlGutter w:val="0"/>
          <w:docGrid w:type="lines" w:linePitch="32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jc w:val="left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eastAsia="zh-CN" w:bidi="ar-SA"/>
        </w:rPr>
        <w:t>2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 xml:space="preserve"> 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atLeas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中新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eastAsia="zh-CN"/>
        </w:rPr>
        <w:t>国际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数据通道使用需求征集表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atLeas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 xml:space="preserve">              </w:t>
      </w:r>
    </w:p>
    <w:tbl>
      <w:tblPr>
        <w:tblStyle w:val="7"/>
        <w:tblW w:w="14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856"/>
        <w:gridCol w:w="1643"/>
        <w:gridCol w:w="1475"/>
        <w:gridCol w:w="1509"/>
        <w:gridCol w:w="1558"/>
        <w:gridCol w:w="4095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leftChars="0" w:right="0" w:rightChars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企业名称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租用通道情况</w:t>
            </w:r>
          </w:p>
        </w:tc>
        <w:tc>
          <w:tcPr>
            <w:tcW w:w="716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/>
              </w:rPr>
              <w:t>2021年通道使用需求情况</w:t>
            </w: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是否已租用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租用带宽</w:t>
            </w:r>
          </w:p>
        </w:tc>
        <w:tc>
          <w:tcPr>
            <w:tcW w:w="150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是否需求</w:t>
            </w:r>
          </w:p>
        </w:tc>
        <w:tc>
          <w:tcPr>
            <w:tcW w:w="155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需求带宽</w:t>
            </w:r>
          </w:p>
        </w:tc>
        <w:tc>
          <w:tcPr>
            <w:tcW w:w="409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数据传输行业及内容</w:t>
            </w:r>
          </w:p>
        </w:tc>
        <w:tc>
          <w:tcPr>
            <w:tcW w:w="15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联系人：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6838" w:h="11906" w:orient="landscape"/>
          <w:pgMar w:top="2098" w:right="1474" w:bottom="1984" w:left="1587" w:header="851" w:footer="1587" w:gutter="0"/>
          <w:cols w:space="0" w:num="1"/>
          <w:rtlGutter w:val="0"/>
          <w:docGrid w:type="lines" w:linePitch="326" w:charSpace="0"/>
        </w:sect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atLeast"/>
        <w:ind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eastAsia="zh-CN"/>
        </w:rPr>
        <w:t>3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atLeast"/>
        <w:ind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5" w:lineRule="exact"/>
        <w:ind w:left="0" w:right="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中新互联互通项目信息通信领域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“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十四五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”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期间拟推动项目清单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280" w:firstLineChars="100"/>
        <w:jc w:val="both"/>
        <w:rPr>
          <w:rFonts w:hint="default" w:ascii="Times New Roman" w:hAnsi="Times New Roman" w:eastAsia="方正仿宋_GBK" w:cs="Times New Roman"/>
          <w:kern w:val="2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 xml:space="preserve">报送企业：                   </w:t>
      </w:r>
    </w:p>
    <w:tbl>
      <w:tblPr>
        <w:tblStyle w:val="7"/>
        <w:tblW w:w="13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2777"/>
        <w:gridCol w:w="3654"/>
        <w:gridCol w:w="2235"/>
        <w:gridCol w:w="2093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3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主要内容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牵头企业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合作企业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280" w:firstLineChars="100"/>
        <w:jc w:val="both"/>
        <w:rPr>
          <w:rFonts w:hint="default" w:ascii="Times New Roman" w:hAnsi="Times New Roman" w:eastAsia="方正仿宋_GBK" w:cs="Times New Roman"/>
          <w:kern w:val="2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联系人：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textAlignment w:val="auto"/>
        <w:outlineLvl w:val="9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</w:p>
    <w:sectPr>
      <w:pgSz w:w="16838" w:h="11906" w:orient="landscape"/>
      <w:pgMar w:top="2098" w:right="1474" w:bottom="1984" w:left="1587" w:header="851" w:footer="1587" w:gutter="0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63375"/>
    <w:rsid w:val="06A445D5"/>
    <w:rsid w:val="0CD02690"/>
    <w:rsid w:val="0D3E2961"/>
    <w:rsid w:val="1A4235D4"/>
    <w:rsid w:val="208A740E"/>
    <w:rsid w:val="226C3FAF"/>
    <w:rsid w:val="24AC1FFF"/>
    <w:rsid w:val="26B218F1"/>
    <w:rsid w:val="26D170D8"/>
    <w:rsid w:val="298C6FAB"/>
    <w:rsid w:val="2B063375"/>
    <w:rsid w:val="2C5205C6"/>
    <w:rsid w:val="2CF06122"/>
    <w:rsid w:val="33F02CF3"/>
    <w:rsid w:val="38A102A3"/>
    <w:rsid w:val="39746E1A"/>
    <w:rsid w:val="41FC947A"/>
    <w:rsid w:val="46381CBA"/>
    <w:rsid w:val="46C918D1"/>
    <w:rsid w:val="47507E85"/>
    <w:rsid w:val="49A60C97"/>
    <w:rsid w:val="4F7FEC50"/>
    <w:rsid w:val="500F3107"/>
    <w:rsid w:val="57631D02"/>
    <w:rsid w:val="57981109"/>
    <w:rsid w:val="5A6417C7"/>
    <w:rsid w:val="5C5407A9"/>
    <w:rsid w:val="5CAD3222"/>
    <w:rsid w:val="5E9E5F40"/>
    <w:rsid w:val="616F4C89"/>
    <w:rsid w:val="6631276A"/>
    <w:rsid w:val="6893357E"/>
    <w:rsid w:val="6A3B7F5D"/>
    <w:rsid w:val="719C7CCD"/>
    <w:rsid w:val="72FA1FCC"/>
    <w:rsid w:val="75850045"/>
    <w:rsid w:val="777F5C92"/>
    <w:rsid w:val="78313CC4"/>
    <w:rsid w:val="798E04A9"/>
    <w:rsid w:val="7BDF14ED"/>
    <w:rsid w:val="7BF7D743"/>
    <w:rsid w:val="7DB3AC49"/>
    <w:rsid w:val="7F7BBB0B"/>
    <w:rsid w:val="7FFEEEC3"/>
    <w:rsid w:val="9EFFF5C4"/>
    <w:rsid w:val="FB3BCC5A"/>
    <w:rsid w:val="FBF70D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left="720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2020-05-24T09:35:00Z</dcterms:created>
  <dc:creator>hp</dc:creator>
  <cp:lastModifiedBy>guset</cp:lastModifiedBy>
  <cp:lastPrinted>2020-12-31T14:55:00Z</cp:lastPrinted>
  <dcterms:modified xsi:type="dcterms:W3CDTF">2020-12-31T16:18:04Z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KSOSaveFontToCloudKey">
    <vt:lpwstr>286905220_btnclosed</vt:lpwstr>
  </property>
</Properties>
</file>