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重庆市大数据应用发展管理局</w:t>
      </w:r>
      <w:r>
        <w:rPr>
          <w:rFonts w:hint="eastAsia" w:ascii="Times New Roman" w:hAnsi="Times New Roman" w:eastAsia="方正小标宋_GBK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政务服务工作先进个人拟推荐对象的公示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按照市政府办公厅、市人力社保局《关于评选表彰重庆市政务服务、政务公开工作先进集体和先进个人的通知》（渝府办发〔2024〕15号）要求和评选条件，经推荐并报经市评选表彰工作领导小组综合评审，现将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市大数据发展局</w:t>
      </w:r>
      <w:r>
        <w:rPr>
          <w:rFonts w:hint="eastAsia" w:ascii="Times New Roman" w:hAnsi="Times New Roman" w:eastAsia="方正仿宋_GBK"/>
          <w:sz w:val="32"/>
          <w:szCs w:val="32"/>
        </w:rPr>
        <w:t>政务服务工作先进个人拟推荐对象有关情况公示如下：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一、拟推荐对象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96" w:firstLineChars="200"/>
        <w:textAlignment w:val="auto"/>
        <w:rPr>
          <w:rFonts w:hint="eastAsia" w:ascii="Times New Roman" w:hAnsi="Times New Roman" w:eastAsia="方正仿宋_GBK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</w:rPr>
        <w:t>王越新，女，汉族，1990年11月生，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val="en-US" w:eastAsia="zh-CN"/>
        </w:rPr>
        <w:t>重庆璧山人，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</w:rPr>
        <w:t>大学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val="en-US" w:eastAsia="zh-CN"/>
        </w:rPr>
        <w:t>工学学士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</w:rPr>
        <w:t>，中共党员，2013年8月参加工作。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</w:rPr>
        <w:t>任市大数据发展局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val="en-US" w:eastAsia="zh-CN"/>
        </w:rPr>
        <w:t>应用推广处一级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</w:rPr>
        <w:t>主任科员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拟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推荐为重庆市政务服务工作先进个人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二、主要事迹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王越新同志主要承担“渝快办”优化升级等相关工作，带领团队加班加点、日夜奋战，顺利完成“渝快办”系统重构，并形成三个实战实用成果。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全国率先构建集“一网通办”“一网统管”“一网协同”深度融合的政务服务总入口。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一体化智能化公共数据平台作为底座支撑，打通“渝快办”“渝快政”两端，以“渝快办”作为群众需求受理总入口，生成单个或多个业务事项任务，通过三级治理中心流转到相关责任部门，工作人员通过“渝快政”进行办理，形成服务、协同、管理的业务闭环机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全国首创业务事项梳理方法，构建高效生成政务服务一件事范式。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“渝快办”与三级中心的业务事项流转机制，将政务服务事项进行可视化拖拉拽方式编排，聚合办事表单、材料、情形，让多事项并行、串行办理，高效生成办事方式多元化、办事流程最优化、办事材料最简化、办事成本最小化的“一件事”，推动“高效办成一件事”落地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（三）数字化全面赋能，打造舒心办、放心办、暖心办的“上渝快办，办愉快事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服务品牌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最大发掘“渝快办”作为企业群众服务“总入口”、政务服务“总平台”“总枢纽”效能，引领政务服务模式转变，构建线上为主、线下为辅、网格兜底的线上线下融合政务服务新模式，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同事同标率从64%提升至100%，办事减字段26.7%、减材料16.4%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四、受理意见单位及电话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96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val="en-US" w:eastAsia="zh-CN"/>
        </w:rPr>
        <w:t>市大数据发展局办公室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电话：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023-67769868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（一）对拟推荐对象有异议的，请以书面、电话等方式向</w:t>
      </w:r>
      <w:r>
        <w:rPr>
          <w:rFonts w:hint="eastAsia" w:ascii="Times New Roman" w:hAnsi="Times New Roman" w:eastAsia="方正仿宋_GBK"/>
          <w:color w:val="000000"/>
          <w:spacing w:val="-11"/>
          <w:sz w:val="32"/>
          <w:szCs w:val="32"/>
          <w:lang w:val="en-US" w:eastAsia="zh-CN"/>
        </w:rPr>
        <w:t>市大数据发展局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（二）反映人必须用真实姓名，反映情况要实事求是。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（三）受理人员对反映人和反映的情况将严格保密。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Times New Roman" w:hAnsi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1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-273685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196.6pt;margin-top:-21.5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nZ16NcAAAALAQAADwAAAAAAAAABACAAAAAiAAAAZHJz&#10;L2Rvd25yZXYueG1sUEsBAhQAFAAAAAgAh07iQF+7zHTMAQAAgQ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B6"/>
    <w:rsid w:val="00123DFD"/>
    <w:rsid w:val="001B04C9"/>
    <w:rsid w:val="001F79AD"/>
    <w:rsid w:val="0028775A"/>
    <w:rsid w:val="006B5E99"/>
    <w:rsid w:val="00971682"/>
    <w:rsid w:val="00AB03B6"/>
    <w:rsid w:val="00AE7044"/>
    <w:rsid w:val="00B13B41"/>
    <w:rsid w:val="00CC5277"/>
    <w:rsid w:val="00D6473F"/>
    <w:rsid w:val="00E2348E"/>
    <w:rsid w:val="12FF10A3"/>
    <w:rsid w:val="175ED323"/>
    <w:rsid w:val="188020F8"/>
    <w:rsid w:val="1FFDE305"/>
    <w:rsid w:val="2FCA5CD9"/>
    <w:rsid w:val="3474ED55"/>
    <w:rsid w:val="376FC9E2"/>
    <w:rsid w:val="37FFA03A"/>
    <w:rsid w:val="3AE30733"/>
    <w:rsid w:val="3F5FCFC1"/>
    <w:rsid w:val="3F7DA76B"/>
    <w:rsid w:val="446BC1DE"/>
    <w:rsid w:val="46062BEA"/>
    <w:rsid w:val="5068161C"/>
    <w:rsid w:val="5D6F1F2F"/>
    <w:rsid w:val="5DF801E6"/>
    <w:rsid w:val="5F2BE696"/>
    <w:rsid w:val="66FB0AA4"/>
    <w:rsid w:val="6F6EFF77"/>
    <w:rsid w:val="71EA80F5"/>
    <w:rsid w:val="775D7A35"/>
    <w:rsid w:val="77EF4756"/>
    <w:rsid w:val="79D3B217"/>
    <w:rsid w:val="7AFD35EB"/>
    <w:rsid w:val="7B792E25"/>
    <w:rsid w:val="7B7F7BED"/>
    <w:rsid w:val="7E5F5273"/>
    <w:rsid w:val="7ED3C6B4"/>
    <w:rsid w:val="7EF9AC20"/>
    <w:rsid w:val="7FA38853"/>
    <w:rsid w:val="7FF36878"/>
    <w:rsid w:val="7FF58F3B"/>
    <w:rsid w:val="A5EF68ED"/>
    <w:rsid w:val="AEFE6C88"/>
    <w:rsid w:val="AFFC6D21"/>
    <w:rsid w:val="BBBF51DF"/>
    <w:rsid w:val="BDE722AE"/>
    <w:rsid w:val="BFDBFF76"/>
    <w:rsid w:val="BFEE5550"/>
    <w:rsid w:val="DB27CAC1"/>
    <w:rsid w:val="DF9CFBD0"/>
    <w:rsid w:val="E59766E2"/>
    <w:rsid w:val="E7BF2C9E"/>
    <w:rsid w:val="EEBB76A5"/>
    <w:rsid w:val="F6CFE078"/>
    <w:rsid w:val="F7ED1DCB"/>
    <w:rsid w:val="F9BF5FE7"/>
    <w:rsid w:val="FAE7F847"/>
    <w:rsid w:val="FBD76213"/>
    <w:rsid w:val="FBFB1E6C"/>
    <w:rsid w:val="FCFBF185"/>
    <w:rsid w:val="FE76965C"/>
    <w:rsid w:val="FE7F8A59"/>
    <w:rsid w:val="FF1F7375"/>
    <w:rsid w:val="FF3A2BC8"/>
    <w:rsid w:val="FF7F28D4"/>
    <w:rsid w:val="FFBF03CC"/>
    <w:rsid w:val="FFD711DE"/>
    <w:rsid w:val="FFED9026"/>
    <w:rsid w:val="FFF1EAEC"/>
    <w:rsid w:val="FFFE0A04"/>
    <w:rsid w:val="FFFF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2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页码1"/>
    <w:basedOn w:val="8"/>
    <w:qFormat/>
    <w:uiPriority w:val="0"/>
  </w:style>
  <w:style w:type="character" w:customStyle="1" w:styleId="8">
    <w:name w:val="默认段落字体1"/>
    <w:semiHidden/>
    <w:qFormat/>
    <w:uiPriority w:val="0"/>
  </w:style>
  <w:style w:type="paragraph" w:customStyle="1" w:styleId="9">
    <w:name w:val="脚注文本1"/>
    <w:basedOn w:val="1"/>
    <w:qFormat/>
    <w:uiPriority w:val="0"/>
    <w:pPr>
      <w:jc w:val="left"/>
    </w:pPr>
    <w:rPr>
      <w:szCs w:val="22"/>
    </w:rPr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1"/>
    <w:next w:val="12"/>
    <w:qFormat/>
    <w:uiPriority w:val="0"/>
  </w:style>
  <w:style w:type="paragraph" w:customStyle="1" w:styleId="12">
    <w:name w:val="目录 51"/>
    <w:basedOn w:val="1"/>
    <w:next w:val="1"/>
    <w:qFormat/>
    <w:uiPriority w:val="0"/>
    <w:pPr>
      <w:ind w:left="1680" w:leftChars="800"/>
    </w:p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4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15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1131</Characters>
  <Lines>9</Lines>
  <Paragraphs>2</Paragraphs>
  <TotalTime>6</TotalTime>
  <ScaleCrop>false</ScaleCrop>
  <LinksUpToDate>false</LinksUpToDate>
  <CharactersWithSpaces>1327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szfbtg</dc:creator>
  <cp:lastModifiedBy>hp</cp:lastModifiedBy>
  <cp:lastPrinted>2023-12-09T16:36:00Z</cp:lastPrinted>
  <dcterms:modified xsi:type="dcterms:W3CDTF">2024-06-20T06:35:10Z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