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/>
        <w:tabs>
          <w:tab w:val="left" w:pos="546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600" w:lineRule="exact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  <w:t xml:space="preserve">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Autospacing="0" w:after="0" w:afterAutospacing="0" w:line="600" w:lineRule="exact"/>
        <w:ind w:left="0" w:leftChars="0" w:firstLine="0" w:firstLineChars="0"/>
        <w:jc w:val="righ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/>
        <w:tabs>
          <w:tab w:val="left" w:pos="546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600" w:lineRule="exact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A类</w:t>
      </w:r>
    </w:p>
    <w:p>
      <w:pPr>
        <w:keepNext w:val="0"/>
        <w:keepLines w:val="0"/>
        <w:pageBreakBefore w:val="0"/>
        <w:widowControl w:val="0"/>
        <w:shd w:val="clear"/>
        <w:tabs>
          <w:tab w:val="left" w:pos="546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600" w:lineRule="exact"/>
        <w:ind w:left="0" w:leftChars="0" w:right="0" w:rightChars="0" w:firstLine="0" w:firstLineChars="0"/>
        <w:jc w:val="right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同意公开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firstLine="0" w:firstLineChars="0"/>
        <w:jc w:val="right"/>
        <w:textAlignment w:val="auto"/>
        <w:rPr>
          <w:rFonts w:hint="default" w:ascii="Times New Roman" w:hAnsi="Times New Roman" w:eastAsia="方正小标宋_GBK" w:cs="Times New Roman"/>
          <w:b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渝大数据函〔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2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〕</w:t>
      </w:r>
      <w:r>
        <w:rPr>
          <w:rFonts w:hint="eastAsia" w:eastAsia="方正仿宋_GBK" w:cs="Times New Roman"/>
          <w:kern w:val="0"/>
          <w:sz w:val="32"/>
          <w:szCs w:val="32"/>
          <w:lang w:val="en-US" w:eastAsia="zh-CN"/>
        </w:rPr>
        <w:t>162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600" w:lineRule="exact"/>
        <w:ind w:left="0" w:leftChars="0" w:firstLine="0" w:firstLineChars="0"/>
        <w:jc w:val="lef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left="1540" w:leftChars="0" w:hanging="1540" w:hangingChars="35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重庆市大数据应用发展管理局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left="1540" w:leftChars="0" w:hanging="1540" w:hangingChars="35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关于市</w:t>
      </w:r>
      <w:r>
        <w:rPr>
          <w:rFonts w:hint="eastAsia" w:eastAsia="方正小标宋_GBK" w:cs="Times New Roman"/>
          <w:sz w:val="44"/>
          <w:szCs w:val="44"/>
          <w:lang w:val="en-US" w:eastAsia="zh-CN"/>
        </w:rPr>
        <w:t>六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届人大</w:t>
      </w:r>
      <w:r>
        <w:rPr>
          <w:rFonts w:hint="eastAsia" w:eastAsia="方正小标宋_GBK" w:cs="Times New Roman"/>
          <w:sz w:val="44"/>
          <w:szCs w:val="44"/>
          <w:lang w:val="en-US" w:eastAsia="zh-CN"/>
        </w:rPr>
        <w:t>一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次会议第</w:t>
      </w:r>
      <w:r>
        <w:rPr>
          <w:rFonts w:hint="eastAsia" w:eastAsia="方正小标宋_GBK" w:cs="Times New Roman"/>
          <w:sz w:val="44"/>
          <w:szCs w:val="44"/>
          <w:lang w:val="en-US" w:eastAsia="zh-CN"/>
        </w:rPr>
        <w:t>0505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left="1540" w:leftChars="0" w:hanging="1540" w:hangingChars="35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建议办理情况的答复函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left="0" w:left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left="0" w:left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侯龙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代表：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您提出的</w:t>
      </w:r>
      <w:r>
        <w:rPr>
          <w:rFonts w:hint="eastAsia" w:ascii="Times New Roman" w:hAnsi="Times New Roman" w:eastAsia="方正仿宋_GBK"/>
          <w:sz w:val="32"/>
          <w:szCs w:val="32"/>
        </w:rPr>
        <w:t>《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关于支持万州创建国家级大数据融合应用创新试验区的建议</w:t>
      </w:r>
      <w:r>
        <w:rPr>
          <w:rFonts w:hint="eastAsia" w:ascii="Times New Roman" w:hAnsi="Times New Roman" w:eastAsia="方正仿宋_GBK"/>
          <w:sz w:val="32"/>
          <w:szCs w:val="32"/>
        </w:rPr>
        <w:t>》（第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0505</w:t>
      </w:r>
      <w:r>
        <w:rPr>
          <w:rFonts w:hint="eastAsia" w:ascii="Times New Roman" w:hAnsi="Times New Roman" w:eastAsia="方正仿宋_GBK"/>
          <w:sz w:val="32"/>
          <w:szCs w:val="32"/>
        </w:rPr>
        <w:t>号）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收悉。</w:t>
      </w:r>
      <w:r>
        <w:rPr>
          <w:rFonts w:hint="eastAsia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经与市经济信息委、市招商投资局协办单位共同研究办理，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现将</w:t>
      </w:r>
      <w:r>
        <w:rPr>
          <w:rFonts w:hint="eastAsia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将办理情况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答复如下：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after="0" w:line="600" w:lineRule="exact"/>
        <w:ind w:left="0" w:leftChars="0" w:firstLine="640" w:firstLineChars="200"/>
        <w:textAlignment w:val="auto"/>
        <w:rPr>
          <w:rFonts w:hint="default"/>
          <w:lang w:val="en-US"/>
        </w:rPr>
      </w:pPr>
      <w:r>
        <w:rPr>
          <w:rFonts w:hint="eastAsia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近年来，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市委、市政府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大力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实施以大数据智能化为引领的创新驱动发展战略行动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计划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深入推进新一代信息技术与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传统产业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融合，以数字技术赋能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产业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高质量发展。万州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区作为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我市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产业发展的重要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区域，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在渝东北城镇群数字经济发展中具有重要引领带动作用。我单位积极</w:t>
      </w:r>
      <w:r>
        <w:rPr>
          <w:rFonts w:hint="eastAsia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支持万州区加快数字化转型升级，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大力推动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万州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数字产业化、产业数字化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转型加速，不断催生以数据为核心的新经济形态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一、</w:t>
      </w:r>
      <w:r>
        <w:rPr>
          <w:rFonts w:hint="eastAsia" w:eastAsia="方正黑体_GBK" w:cs="Times New Roman"/>
          <w:sz w:val="32"/>
          <w:szCs w:val="32"/>
          <w:lang w:val="en-US" w:eastAsia="zh-CN"/>
        </w:rPr>
        <w:t>加强新型基础设施建设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left="0" w:leftChars="0" w:firstLine="632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持续支持万州新基建建设。一是支持万州区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新建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了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5G基站807个，累计建成5G基站3354个，实现城区主要区域5G信号全覆盖，镇乡建设全覆盖，5G手机用户达到90.5万户。新建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了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互联网小镇1个，互联网村5个，累计建成互联网小镇11个，互联网村144个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；二是支持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建成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了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重庆政务云（异地）灾备中心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渝东北CDN数据中心云资源基础设施项目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5G+MEC边缘计算应用项目等融合基础设施项目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；三是支持建设了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万州水域一体化视频AI监管平台、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三峡库区健康大数据应用创新研发中心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金融服务万商惠大数据平台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等项目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、</w:t>
      </w:r>
      <w:r>
        <w:rPr>
          <w:rFonts w:hint="default" w:eastAsia="方正黑体_GBK" w:cs="Times New Roman"/>
          <w:sz w:val="32"/>
          <w:szCs w:val="32"/>
          <w:lang w:val="en-US" w:eastAsia="zh-CN"/>
        </w:rPr>
        <w:t>数据治理能力持续提升</w:t>
      </w:r>
    </w:p>
    <w:p>
      <w:pPr>
        <w:pStyle w:val="2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持续支持万州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市区政务数据协同试点区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建设。一是市级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下沉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了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数据28项共108万余条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推送</w:t>
      </w:r>
      <w:r>
        <w:rPr>
          <w:rFonts w:hint="eastAsia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了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法定代表人、涉企经营许可证、照面信息等6项共34万余条数据，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推动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建成</w:t>
      </w:r>
      <w:r>
        <w:rPr>
          <w:rFonts w:hint="eastAsia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了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“证照分离”主题数据库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有效推进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万州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“证照分离”改革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进程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二是支持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建成</w:t>
      </w:r>
      <w:r>
        <w:rPr>
          <w:rFonts w:hint="eastAsia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了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数智政务一体化平台</w:t>
      </w:r>
      <w:r>
        <w:rPr>
          <w:rFonts w:hint="eastAsia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。推动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汇聚20余个部门涉及项目、资金、民生、产业等数据500余万条，实现有效精准监督。</w:t>
      </w:r>
      <w:r>
        <w:rPr>
          <w:rFonts w:hint="eastAsia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三是支持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建设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了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万州区自然人全生命周期数据库、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eastAsia="zh-CN"/>
        </w:rPr>
        <w:t>区能源大数据中心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/>
        </w:rPr>
        <w:t>建成“智慧万州”安全保障体系，</w:t>
      </w:r>
      <w:r>
        <w:rPr>
          <w:rFonts w:hint="eastAsia" w:eastAsia="方正仿宋_GBK" w:cs="Times New Roman"/>
          <w:b w:val="0"/>
          <w:bCs w:val="0"/>
          <w:kern w:val="0"/>
          <w:sz w:val="32"/>
          <w:szCs w:val="32"/>
          <w:lang w:val="en-US" w:eastAsia="zh-CN"/>
        </w:rPr>
        <w:t>推动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完善政务数据安全管理制度，健全政务数据安全保密管理体系。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eastAsia="方正黑体_GBK" w:cs="Times New Roman"/>
          <w:sz w:val="32"/>
          <w:szCs w:val="32"/>
          <w:lang w:val="en-US" w:eastAsia="zh-CN"/>
        </w:rPr>
      </w:pPr>
      <w:r>
        <w:rPr>
          <w:rFonts w:hint="eastAsia" w:eastAsia="方正黑体_GBK" w:cs="Times New Roman"/>
          <w:sz w:val="32"/>
          <w:szCs w:val="32"/>
          <w:lang w:val="en-US" w:eastAsia="zh-CN"/>
        </w:rPr>
        <w:t>三</w:t>
      </w:r>
      <w:r>
        <w:rPr>
          <w:rFonts w:hint="default" w:eastAsia="方正黑体_GBK" w:cs="Times New Roman"/>
          <w:sz w:val="32"/>
          <w:szCs w:val="32"/>
          <w:lang w:val="en-US" w:eastAsia="zh-CN"/>
        </w:rPr>
        <w:t>、</w:t>
      </w:r>
      <w:r>
        <w:rPr>
          <w:rFonts w:hint="eastAsia" w:eastAsia="方正黑体_GBK" w:cs="Times New Roman"/>
          <w:sz w:val="32"/>
          <w:szCs w:val="32"/>
          <w:lang w:val="en-US" w:eastAsia="zh-CN"/>
        </w:rPr>
        <w:t>推动数字经济产业发展提速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textAlignment w:val="auto"/>
        <w:rPr>
          <w:rFonts w:hint="eastAsia" w:eastAsia="方正仿宋_GBK"/>
          <w:sz w:val="32"/>
        </w:rPr>
      </w:pPr>
      <w:r>
        <w:rPr>
          <w:rFonts w:hint="eastAsia" w:eastAsia="方正仿宋_GBK"/>
          <w:sz w:val="32"/>
          <w:lang w:val="en-US" w:eastAsia="zh-CN"/>
        </w:rPr>
        <w:t>积极推进万州区数字产业高质量发展。</w:t>
      </w:r>
      <w:r>
        <w:rPr>
          <w:rFonts w:hint="eastAsia" w:eastAsia="方正仿宋_GBK"/>
          <w:sz w:val="32"/>
        </w:rPr>
        <w:t>2021年10月28日，重庆市大数据发展局正式授牌</w:t>
      </w:r>
      <w:r>
        <w:rPr>
          <w:rFonts w:hint="eastAsia" w:eastAsia="方正仿宋_GBK"/>
          <w:sz w:val="32"/>
          <w:lang w:val="en-US" w:eastAsia="zh-CN"/>
        </w:rPr>
        <w:t>万州区</w:t>
      </w:r>
      <w:r>
        <w:rPr>
          <w:rFonts w:hint="eastAsia" w:eastAsia="方正仿宋_GBK"/>
          <w:sz w:val="32"/>
        </w:rPr>
        <w:t>为重庆市大数据融合应用创新实验区，至此，</w:t>
      </w:r>
      <w:r>
        <w:rPr>
          <w:rFonts w:hint="eastAsia" w:eastAsia="方正仿宋_GBK"/>
          <w:sz w:val="32"/>
          <w:lang w:val="en-US" w:eastAsia="zh-CN"/>
        </w:rPr>
        <w:t>万州区</w:t>
      </w:r>
      <w:r>
        <w:rPr>
          <w:rFonts w:hint="eastAsia" w:eastAsia="方正仿宋_GBK"/>
          <w:sz w:val="32"/>
        </w:rPr>
        <w:t>正式成为全市构建“五十百千万”数字产业发展体系集中打造的10数字经济特色园区之一。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left="0" w:leftChars="0" w:firstLine="632"/>
        <w:textAlignment w:val="auto"/>
        <w:rPr>
          <w:rFonts w:hint="default"/>
        </w:rPr>
      </w:pPr>
      <w:r>
        <w:rPr>
          <w:rFonts w:hint="eastAsia" w:eastAsia="方正仿宋_GBK"/>
          <w:sz w:val="32"/>
        </w:rPr>
        <w:t>大数据融合应用创新试验区建设取得了预期性成效</w:t>
      </w:r>
      <w:r>
        <w:rPr>
          <w:rFonts w:hint="eastAsia" w:eastAsia="方正仿宋_GBK"/>
          <w:sz w:val="32"/>
          <w:lang w:eastAsia="zh-CN"/>
        </w:rPr>
        <w:t>。</w:t>
      </w:r>
      <w:r>
        <w:rPr>
          <w:rFonts w:hint="eastAsia" w:eastAsia="方正仿宋_GBK"/>
          <w:sz w:val="32"/>
        </w:rPr>
        <w:t>2022年</w:t>
      </w:r>
      <w:r>
        <w:rPr>
          <w:rFonts w:hint="eastAsia" w:eastAsia="方正仿宋_GBK"/>
          <w:sz w:val="32"/>
          <w:lang w:val="en-US" w:eastAsia="zh-CN"/>
        </w:rPr>
        <w:t>万州区</w:t>
      </w:r>
      <w:r>
        <w:rPr>
          <w:rFonts w:hint="eastAsia" w:eastAsia="方正仿宋_GBK"/>
          <w:sz w:val="32"/>
        </w:rPr>
        <w:t>数字经济增加值超过300亿元，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/>
        </w:rPr>
        <w:t>全年入统的数字经济核心产业增加值超过23亿元，同比增长5%</w:t>
      </w:r>
      <w:r>
        <w:rPr>
          <w:rFonts w:hint="eastAsia" w:eastAsia="方正仿宋_GBK" w:cs="Times New Roman"/>
          <w:b w:val="0"/>
          <w:bCs w:val="0"/>
          <w:kern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/>
        </w:rPr>
        <w:t>年度新升规企业4家，全区纳入统计的规上数字经济规上企业27户</w:t>
      </w:r>
      <w:r>
        <w:rPr>
          <w:rFonts w:hint="eastAsia" w:eastAsia="方正仿宋_GBK" w:cs="Times New Roman"/>
          <w:b w:val="0"/>
          <w:bCs w:val="0"/>
          <w:kern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/>
        </w:rPr>
        <w:t>入库市级高技术领域重大项目已达21个，年度投资达24.02亿元。</w:t>
      </w:r>
      <w:r>
        <w:rPr>
          <w:rFonts w:hint="eastAsia" w:eastAsia="方正仿宋_GBK" w:cs="Times New Roman"/>
          <w:b w:val="0"/>
          <w:bCs w:val="0"/>
          <w:kern w:val="0"/>
          <w:sz w:val="32"/>
          <w:szCs w:val="32"/>
          <w:lang w:val="en-US" w:eastAsia="zh-CN"/>
        </w:rPr>
        <w:t>同时，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支持万州区打造了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施耐德（重庆）电工有限公司智能生活空间产品生产智能工厂等3个市级智能工厂和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重庆长安跨越车辆有限公司车身焊接数字化车间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6个市级数字化车间。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hint="eastAsia" w:eastAsia="方正黑体_GBK" w:cs="Times New Roman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、下一步计划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目前，我们正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积极响应国家大数据战略部署，积极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贯彻落实市委六届二次全会精神，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加快推进省域层面数字中国建设，</w:t>
      </w:r>
      <w:r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  <w:t>不断完善数字重庆顶层设计，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加快推进数字技术与产业发展深度融合，积极壮大数据要素市场，全方位助力</w:t>
      </w:r>
      <w:r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  <w:t>我市数字化改革进程。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下一步，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我们将继续支持万州区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数字化转型升级，鼓励支持万州区积极深度融入数字重庆建设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pStyle w:val="2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eastAsia="方正楷体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楷体_GBK" w:cs="Times New Roman"/>
          <w:kern w:val="2"/>
          <w:sz w:val="32"/>
          <w:szCs w:val="32"/>
          <w:lang w:val="en-US" w:eastAsia="zh-CN" w:bidi="ar-SA"/>
        </w:rPr>
        <w:t>支持</w:t>
      </w:r>
      <w:r>
        <w:rPr>
          <w:rFonts w:hint="eastAsia" w:eastAsia="方正楷体_GBK" w:cs="Times New Roman"/>
          <w:kern w:val="2"/>
          <w:sz w:val="32"/>
          <w:szCs w:val="32"/>
          <w:lang w:val="en-US" w:eastAsia="zh-CN" w:bidi="ar-SA"/>
        </w:rPr>
        <w:t>深度</w:t>
      </w:r>
      <w:r>
        <w:rPr>
          <w:rFonts w:hint="eastAsia" w:ascii="Times New Roman" w:hAnsi="Times New Roman" w:eastAsia="方正楷体_GBK" w:cs="Times New Roman"/>
          <w:kern w:val="2"/>
          <w:sz w:val="32"/>
          <w:szCs w:val="32"/>
          <w:lang w:val="en-US" w:eastAsia="zh-CN" w:bidi="ar-SA"/>
        </w:rPr>
        <w:t>融入国家东数西算战略。</w:t>
      </w:r>
      <w:r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  <w:t>鼓励支持万州加强</w:t>
      </w:r>
      <w:r>
        <w:rPr>
          <w:rFonts w:hint="eastAsia" w:eastAsia="方正仿宋_GBK"/>
          <w:sz w:val="32"/>
        </w:rPr>
        <w:t>重庆市政务云异地灾备中心</w:t>
      </w:r>
      <w:r>
        <w:rPr>
          <w:rFonts w:hint="eastAsia" w:eastAsia="方正仿宋_GBK"/>
          <w:sz w:val="32"/>
          <w:lang w:val="en-US" w:eastAsia="zh-CN"/>
        </w:rPr>
        <w:t>业务拓展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，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支持加快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渝东北CDN数据中心云资源基础设施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建设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，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支持加快推进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5G+MEC边缘计算应用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场景建设。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textAlignment w:val="auto"/>
        <w:rPr>
          <w:rFonts w:hint="eastAsia" w:eastAsia="方正仿宋_GBK"/>
          <w:sz w:val="32"/>
        </w:rPr>
      </w:pPr>
      <w:r>
        <w:rPr>
          <w:rFonts w:hint="eastAsia" w:ascii="方正楷体_GBK" w:hAnsi="方正楷体_GBK" w:eastAsia="方正楷体_GBK" w:cs="方正楷体_GBK"/>
          <w:sz w:val="32"/>
          <w:lang w:val="en-US" w:eastAsia="zh-CN"/>
        </w:rPr>
        <w:t>（二）支持加快</w:t>
      </w:r>
      <w:r>
        <w:rPr>
          <w:rFonts w:hint="default" w:ascii="Times New Roman" w:hAnsi="Times New Roman" w:eastAsia="方正楷体_GBK" w:cs="Times New Roman"/>
          <w:kern w:val="2"/>
          <w:sz w:val="32"/>
          <w:szCs w:val="32"/>
          <w:lang w:val="en-US" w:eastAsia="zh-CN" w:bidi="ar-SA"/>
        </w:rPr>
        <w:t>实施数字基础设施</w:t>
      </w:r>
      <w:r>
        <w:rPr>
          <w:rFonts w:hint="eastAsia" w:ascii="方正楷体_GBK" w:hAnsi="方正楷体_GBK" w:eastAsia="方正楷体_GBK" w:cs="方正楷体_GBK"/>
          <w:sz w:val="32"/>
          <w:lang w:val="en-US" w:eastAsia="zh-CN"/>
        </w:rPr>
        <w:t>建设</w:t>
      </w:r>
      <w:r>
        <w:rPr>
          <w:rFonts w:hint="eastAsia" w:ascii="方正楷体_GBK" w:hAnsi="方正楷体_GBK" w:eastAsia="方正楷体_GBK" w:cs="方正楷体_GBK"/>
          <w:sz w:val="32"/>
          <w:lang w:eastAsia="zh-CN"/>
        </w:rPr>
        <w:t>。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支持万州区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加强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战略性基础支撑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布局，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提速打造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具有引领性的智能化综合性数字基建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eastAsia="zh-CN"/>
        </w:rPr>
        <w:t>。</w:t>
      </w:r>
      <w:r>
        <w:rPr>
          <w:rFonts w:hint="eastAsia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一是支持万州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大力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推进5G组网、三千兆建设，推进IPV6改造，实现5G基站城区全覆盖、所有场镇全覆盖</w:t>
      </w:r>
      <w:r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  <w:t>；二是支持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推进物联网基础设施建设，</w:t>
      </w:r>
      <w:r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  <w:t>推进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打造城市物联网大数据平台</w:t>
      </w:r>
      <w:r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  <w:t>；三是支持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推动企业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Hans" w:bidi="ar-SA"/>
        </w:rPr>
        <w:t>“上云上平台”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after="0" w:line="60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eastAsia="方正楷体_GBK" w:cs="Times New Roman"/>
          <w:kern w:val="2"/>
          <w:sz w:val="32"/>
          <w:szCs w:val="32"/>
          <w:lang w:val="en-US" w:eastAsia="zh-CN" w:bidi="ar-SA"/>
        </w:rPr>
        <w:t>三</w:t>
      </w:r>
      <w:r>
        <w:rPr>
          <w:rFonts w:hint="default" w:ascii="Times New Roman" w:hAnsi="Times New Roman" w:eastAsia="方正楷体_GBK" w:cs="Times New Roman"/>
          <w:kern w:val="2"/>
          <w:sz w:val="32"/>
          <w:szCs w:val="32"/>
          <w:lang w:val="en-US" w:eastAsia="zh-CN" w:bidi="ar-SA"/>
        </w:rPr>
        <w:t>）</w:t>
      </w:r>
      <w:r>
        <w:rPr>
          <w:rFonts w:hint="eastAsia" w:ascii="Times New Roman" w:hAnsi="Times New Roman" w:eastAsia="方正楷体_GBK" w:cs="Times New Roman"/>
          <w:kern w:val="2"/>
          <w:sz w:val="32"/>
          <w:szCs w:val="32"/>
          <w:lang w:val="en-US" w:eastAsia="zh-CN" w:bidi="ar-SA"/>
        </w:rPr>
        <w:t>支持</w:t>
      </w:r>
      <w:r>
        <w:rPr>
          <w:rFonts w:hint="default" w:ascii="Times New Roman" w:hAnsi="Times New Roman" w:eastAsia="方正楷体_GBK" w:cs="Times New Roman"/>
          <w:kern w:val="2"/>
          <w:sz w:val="32"/>
          <w:szCs w:val="32"/>
          <w:lang w:val="en-US" w:eastAsia="zh-CN" w:bidi="ar-SA"/>
        </w:rPr>
        <w:t>实施数字经济发展优化行动。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一是支持万州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启动数字经济赋能提升行动，大力推动数字产业化、产业数字化，高质量建设重庆市大数据融合应用创新试验区、市政务云异地灾备产业园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；二是支持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以三峡智慧城为核心，以江南商圈、高铁经济圈、万州经开区高峰园核心产业圈以及环三峡学院生态圈建设为支撑，打造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万州区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数字经济发展“一核四圈”产业发展格局。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ascii="Times New Roman" w:hAnsi="Times New Roman" w:eastAsia="方正楷体_GBK" w:cs="Times New Roman"/>
          <w:kern w:val="2"/>
          <w:sz w:val="32"/>
          <w:szCs w:val="32"/>
          <w:lang w:val="en-US" w:eastAsia="zh-CN" w:bidi="ar-SA"/>
        </w:rPr>
        <w:t>四</w:t>
      </w:r>
      <w:r>
        <w:rPr>
          <w:rFonts w:hint="default" w:ascii="Times New Roman" w:hAnsi="Times New Roman" w:eastAsia="方正楷体_GBK" w:cs="Times New Roman"/>
          <w:kern w:val="2"/>
          <w:sz w:val="32"/>
          <w:szCs w:val="32"/>
          <w:lang w:val="en-US" w:eastAsia="zh-CN" w:bidi="ar-SA"/>
        </w:rPr>
        <w:t>）</w:t>
      </w:r>
      <w:r>
        <w:rPr>
          <w:rFonts w:hint="eastAsia" w:ascii="Times New Roman" w:hAnsi="Times New Roman" w:eastAsia="方正楷体_GBK" w:cs="Times New Roman"/>
          <w:kern w:val="2"/>
          <w:sz w:val="32"/>
          <w:szCs w:val="32"/>
          <w:lang w:val="en-US" w:eastAsia="zh-CN" w:bidi="ar-SA"/>
        </w:rPr>
        <w:t>支持</w:t>
      </w:r>
      <w:r>
        <w:rPr>
          <w:rFonts w:hint="default" w:ascii="Times New Roman" w:hAnsi="Times New Roman" w:eastAsia="方正楷体_GBK" w:cs="Times New Roman"/>
          <w:kern w:val="2"/>
          <w:sz w:val="32"/>
          <w:szCs w:val="32"/>
          <w:lang w:val="en-US" w:eastAsia="zh-CN" w:bidi="ar-SA"/>
        </w:rPr>
        <w:t>实施龙头企业引领行动。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一是支持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加大龙头企业招商培育力度，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推进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龙头牵头搭建行业性创新研发平台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；二是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支持龙头企业与科研院校联办技术研发中心、实验室、数字经济促进转化中心，打造以龙头企业为核心的产学研用发展体系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；三是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支持渝万传媒、谡海科技、宗商网等知名度较高的本地数字经济企业跨区域、跨行业融合发展，持续壮大企业发展生态。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此答复已经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代小红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局长审签。对以上答复您有什么意见，请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通过填写回执及时反馈市人大常委会人代工委。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 w:line="600" w:lineRule="exact"/>
        <w:ind w:left="0" w:leftChars="0" w:firstLine="620" w:firstLineChars="200"/>
        <w:textAlignment w:val="auto"/>
        <w:rPr>
          <w:rFonts w:hint="eastAsia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10"/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ind w:firstLine="620" w:firstLineChars="200"/>
        <w:textAlignment w:val="auto"/>
        <w:rPr>
          <w:rFonts w:hint="default"/>
          <w:lang w:val="en-US"/>
        </w:rPr>
      </w:pPr>
      <w:r>
        <w:rPr>
          <w:rFonts w:hint="eastAsia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附件：承诺事项列表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N/>
        <w:bidi w:val="0"/>
        <w:adjustRightInd w:val="0"/>
        <w:snapToGrid w:val="0"/>
        <w:spacing w:line="560" w:lineRule="exact"/>
        <w:ind w:left="2520" w:leftChars="120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N/>
        <w:bidi w:val="0"/>
        <w:adjustRightInd w:val="0"/>
        <w:snapToGrid w:val="0"/>
        <w:spacing w:line="560" w:lineRule="exact"/>
        <w:ind w:left="2520" w:leftChars="120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N/>
        <w:bidi w:val="0"/>
        <w:adjustRightInd w:val="0"/>
        <w:snapToGrid w:val="0"/>
        <w:spacing w:line="560" w:lineRule="exact"/>
        <w:ind w:left="2520" w:leftChars="120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N/>
        <w:bidi w:val="0"/>
        <w:adjustRightInd w:val="0"/>
        <w:snapToGrid w:val="0"/>
        <w:spacing w:line="560" w:lineRule="exact"/>
        <w:ind w:left="2520" w:leftChars="120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重庆市大数据应用发展管理局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adjustRightInd w:val="0"/>
        <w:snapToGrid w:val="0"/>
        <w:spacing w:line="560" w:lineRule="exact"/>
        <w:ind w:left="2660" w:leftChars="1200" w:hanging="140" w:hangingChars="44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202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年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月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eastAsia="方正仿宋_GBK" w:cs="Times New Roman"/>
          <w:sz w:val="32"/>
          <w:szCs w:val="32"/>
          <w:lang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联 系 人：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刘启晴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联系电话：1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3368228737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邮政编码：40112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1</w:t>
      </w:r>
    </w:p>
    <w:p>
      <w:pPr>
        <w:bidi w:val="0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5518"/>
        </w:tabs>
        <w:bidi w:val="0"/>
        <w:jc w:val="left"/>
        <w:rPr>
          <w:rFonts w:hint="eastAsia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851" w:footer="1587" w:gutter="0"/>
          <w:pgNumType w:fmt="decimal"/>
          <w:cols w:space="425" w:num="1"/>
          <w:docGrid w:type="lines" w:linePitch="312" w:charSpace="0"/>
        </w:sectPr>
      </w:pPr>
      <w:r>
        <w:rPr>
          <w:rFonts w:hint="eastAsia"/>
          <w:lang w:val="en-US" w:eastAsia="zh-CN"/>
        </w:rPr>
        <w:tab/>
      </w:r>
      <w:bookmarkStart w:id="0" w:name="_GoBack"/>
      <w:bookmarkEnd w:id="0"/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textAlignment w:val="auto"/>
        <w:rPr>
          <w:rFonts w:ascii="方正仿宋_GBK" w:hAnsi="宋体" w:eastAsia="方正仿宋_GBK" w:cs="宋体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附件</w:t>
      </w:r>
      <w:r>
        <w:rPr>
          <w:rFonts w:hint="eastAsia" w:ascii="方正仿宋_GBK" w:hAnsi="宋体" w:eastAsia="方正仿宋_GBK" w:cs="宋体"/>
          <w:kern w:val="0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jc w:val="center"/>
        <w:textAlignment w:val="auto"/>
        <w:rPr>
          <w:rFonts w:ascii="方正小标宋_GBK" w:hAnsi="宋体" w:eastAsia="方正小标宋_GBK" w:cs="宋体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承诺事项列表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9"/>
        <w:gridCol w:w="5163"/>
        <w:gridCol w:w="2268"/>
        <w:gridCol w:w="1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1229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ascii="方正仿宋_GBK" w:hAnsi="宋体" w:eastAsia="方正仿宋_GBK"/>
                <w:sz w:val="32"/>
                <w:szCs w:val="32"/>
              </w:rPr>
            </w:pPr>
            <w:r>
              <w:rPr>
                <w:rFonts w:hint="eastAsia" w:ascii="方正仿宋_GBK" w:hAnsi="宋体" w:eastAsia="方正仿宋_GBK"/>
                <w:sz w:val="32"/>
                <w:szCs w:val="32"/>
              </w:rPr>
              <w:t>序号</w:t>
            </w:r>
          </w:p>
        </w:tc>
        <w:tc>
          <w:tcPr>
            <w:tcW w:w="5163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ascii="方正仿宋_GBK" w:hAnsi="宋体" w:eastAsia="方正仿宋_GBK"/>
                <w:sz w:val="32"/>
                <w:szCs w:val="32"/>
              </w:rPr>
            </w:pPr>
            <w:r>
              <w:rPr>
                <w:rFonts w:hint="eastAsia" w:ascii="方正仿宋_GBK" w:hAnsi="宋体" w:eastAsia="方正仿宋_GBK"/>
                <w:sz w:val="32"/>
                <w:szCs w:val="32"/>
              </w:rPr>
              <w:t>承诺事项具体内容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ascii="方正仿宋_GBK" w:hAnsi="宋体" w:eastAsia="方正仿宋_GBK"/>
                <w:sz w:val="32"/>
                <w:szCs w:val="32"/>
              </w:rPr>
            </w:pPr>
            <w:r>
              <w:rPr>
                <w:rFonts w:hint="eastAsia" w:ascii="方正仿宋_GBK" w:hAnsi="宋体" w:eastAsia="方正仿宋_GBK"/>
                <w:sz w:val="32"/>
                <w:szCs w:val="32"/>
              </w:rPr>
              <w:t>（分项</w:t>
            </w:r>
            <w:r>
              <w:rPr>
                <w:rFonts w:ascii="方正仿宋_GBK" w:hAnsi="宋体" w:eastAsia="方正仿宋_GBK"/>
                <w:sz w:val="32"/>
                <w:szCs w:val="32"/>
              </w:rPr>
              <w:t>列出</w:t>
            </w:r>
            <w:r>
              <w:rPr>
                <w:rFonts w:hint="eastAsia" w:ascii="方正仿宋_GBK" w:hAnsi="宋体" w:eastAsia="方正仿宋_GBK"/>
                <w:sz w:val="32"/>
                <w:szCs w:val="32"/>
              </w:rPr>
              <w:t>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ascii="方正仿宋_GBK" w:hAnsi="宋体" w:eastAsia="方正仿宋_GBK"/>
                <w:sz w:val="32"/>
                <w:szCs w:val="32"/>
              </w:rPr>
            </w:pPr>
            <w:r>
              <w:rPr>
                <w:rFonts w:hint="eastAsia" w:ascii="方正仿宋_GBK" w:hAnsi="宋体" w:eastAsia="方正仿宋_GBK"/>
                <w:sz w:val="32"/>
                <w:szCs w:val="32"/>
              </w:rPr>
              <w:t>承诺落实时间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ascii="方正仿宋_GBK" w:hAnsi="宋体" w:eastAsia="方正仿宋_GBK"/>
                <w:sz w:val="32"/>
                <w:szCs w:val="32"/>
              </w:rPr>
            </w:pPr>
            <w:r>
              <w:rPr>
                <w:rFonts w:hint="eastAsia" w:ascii="方正仿宋_GBK" w:hAnsi="宋体" w:eastAsia="方正仿宋_GBK"/>
                <w:sz w:val="32"/>
                <w:szCs w:val="32"/>
              </w:rPr>
              <w:t>责任单位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229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1</w:t>
            </w:r>
          </w:p>
        </w:tc>
        <w:tc>
          <w:tcPr>
            <w:tcW w:w="5163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ind w:firstLine="560" w:firstLineChars="200"/>
              <w:textAlignment w:val="auto"/>
              <w:rPr>
                <w:rFonts w:hint="default" w:ascii="方正仿宋_GBK" w:hAnsi="宋体" w:eastAsia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229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</w:pPr>
            <w:r>
              <w:rPr>
                <w:rFonts w:hint="eastAsia"/>
              </w:rPr>
              <w:t>2</w:t>
            </w:r>
          </w:p>
        </w:tc>
        <w:tc>
          <w:tcPr>
            <w:tcW w:w="5163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方正仿宋_GBK" w:hAnsi="宋体" w:eastAsia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方正仿宋_GBK" w:hAnsi="宋体" w:eastAsia="方正仿宋_GBK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9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</w:pPr>
            <w:r>
              <w:rPr>
                <w:rFonts w:hint="eastAsia"/>
              </w:rPr>
              <w:t>3</w:t>
            </w:r>
          </w:p>
        </w:tc>
        <w:tc>
          <w:tcPr>
            <w:tcW w:w="5163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方正仿宋_GBK" w:hAnsi="宋体" w:eastAsia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方正仿宋_GBK" w:hAnsi="宋体" w:eastAsia="方正仿宋_GBK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229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……</w:t>
            </w:r>
          </w:p>
        </w:tc>
        <w:tc>
          <w:tcPr>
            <w:tcW w:w="5163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ascii="方正仿宋_GBK" w:hAnsi="宋体" w:eastAsia="方正仿宋_GBK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</w:tr>
    </w:tbl>
    <w:p>
      <w:pPr>
        <w:tabs>
          <w:tab w:val="left" w:pos="3684"/>
        </w:tabs>
        <w:bidi w:val="0"/>
        <w:jc w:val="left"/>
        <w:rPr>
          <w:rFonts w:hint="eastAsia" w:eastAsia="宋体"/>
          <w:lang w:eastAsia="zh-CN"/>
        </w:rPr>
      </w:pPr>
    </w:p>
    <w:sectPr>
      <w:headerReference r:id="rId4" w:type="default"/>
      <w:footerReference r:id="rId5" w:type="default"/>
      <w:pgSz w:w="11906" w:h="16838"/>
      <w:pgMar w:top="2098" w:right="1474" w:bottom="1984" w:left="1587" w:header="851" w:footer="158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wordWrap w:val="0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-19050</wp:posOffset>
              </wp:positionH>
              <wp:positionV relativeFrom="paragraph">
                <wp:posOffset>121920</wp:posOffset>
              </wp:positionV>
              <wp:extent cx="1828800" cy="30543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3054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1.5pt;margin-top:9.6pt;height:24.05pt;width:144pt;mso-position-horizontal-relative:margin;mso-wrap-style:none;z-index:251660288;mso-width-relative:page;mso-height-relative:page;" filled="f" stroked="f" coordsize="21600,21600" o:gfxdata="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BfxrmvYAAAACAEAAA8AAAAAAAAAAQAgAAAAIgAAAGRycy9kb3ducmV2&#10;LnhtbFBLAQIUABQAAAAIAIdO4kByvDzZNQIAAGAEAAAOAAAAAAAAAAEAIAAAACc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8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6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2AD5EF"/>
    <w:multiLevelType w:val="singleLevel"/>
    <w:tmpl w:val="342AD5E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VjNjM2NDFkOGQ1OWQ5OWI3YjMwNGJmNjNkZjZkZjIifQ=="/>
  </w:docVars>
  <w:rsids>
    <w:rsidRoot w:val="009C2D09"/>
    <w:rsid w:val="00036C09"/>
    <w:rsid w:val="00073F1D"/>
    <w:rsid w:val="000839FA"/>
    <w:rsid w:val="00094B5E"/>
    <w:rsid w:val="000C2776"/>
    <w:rsid w:val="000D5A87"/>
    <w:rsid w:val="000F2227"/>
    <w:rsid w:val="00130B8E"/>
    <w:rsid w:val="001362B9"/>
    <w:rsid w:val="001417EC"/>
    <w:rsid w:val="001630CB"/>
    <w:rsid w:val="0016662B"/>
    <w:rsid w:val="00172179"/>
    <w:rsid w:val="00176F96"/>
    <w:rsid w:val="001B2EAB"/>
    <w:rsid w:val="001D4088"/>
    <w:rsid w:val="001D5D86"/>
    <w:rsid w:val="001E0123"/>
    <w:rsid w:val="00203771"/>
    <w:rsid w:val="00217260"/>
    <w:rsid w:val="00222F27"/>
    <w:rsid w:val="0022580E"/>
    <w:rsid w:val="00242A2C"/>
    <w:rsid w:val="00281217"/>
    <w:rsid w:val="002812D7"/>
    <w:rsid w:val="00285318"/>
    <w:rsid w:val="00295D31"/>
    <w:rsid w:val="002C575C"/>
    <w:rsid w:val="002D1CC9"/>
    <w:rsid w:val="002E0948"/>
    <w:rsid w:val="002E6118"/>
    <w:rsid w:val="00314A03"/>
    <w:rsid w:val="00326C0E"/>
    <w:rsid w:val="003B1FD8"/>
    <w:rsid w:val="003B6259"/>
    <w:rsid w:val="003F278E"/>
    <w:rsid w:val="003F4644"/>
    <w:rsid w:val="00442BEC"/>
    <w:rsid w:val="00450B8C"/>
    <w:rsid w:val="00453511"/>
    <w:rsid w:val="0047418A"/>
    <w:rsid w:val="0047764C"/>
    <w:rsid w:val="004C5ADA"/>
    <w:rsid w:val="004C643C"/>
    <w:rsid w:val="004D5821"/>
    <w:rsid w:val="0051495A"/>
    <w:rsid w:val="00551104"/>
    <w:rsid w:val="005604E5"/>
    <w:rsid w:val="00583CDD"/>
    <w:rsid w:val="005904E4"/>
    <w:rsid w:val="005B688F"/>
    <w:rsid w:val="005D168A"/>
    <w:rsid w:val="005F00A5"/>
    <w:rsid w:val="00616273"/>
    <w:rsid w:val="00623EFB"/>
    <w:rsid w:val="00625417"/>
    <w:rsid w:val="00644BCF"/>
    <w:rsid w:val="00670A81"/>
    <w:rsid w:val="00692515"/>
    <w:rsid w:val="00696748"/>
    <w:rsid w:val="006A6771"/>
    <w:rsid w:val="006B1B30"/>
    <w:rsid w:val="006B79DF"/>
    <w:rsid w:val="006E18BC"/>
    <w:rsid w:val="006F0139"/>
    <w:rsid w:val="006F3141"/>
    <w:rsid w:val="007250A4"/>
    <w:rsid w:val="00752AFA"/>
    <w:rsid w:val="0078299A"/>
    <w:rsid w:val="00785F96"/>
    <w:rsid w:val="007951BB"/>
    <w:rsid w:val="007C731E"/>
    <w:rsid w:val="007E5F66"/>
    <w:rsid w:val="00807514"/>
    <w:rsid w:val="00870D8C"/>
    <w:rsid w:val="00881260"/>
    <w:rsid w:val="00886042"/>
    <w:rsid w:val="008971CD"/>
    <w:rsid w:val="008B6D96"/>
    <w:rsid w:val="008C25D0"/>
    <w:rsid w:val="008D49E0"/>
    <w:rsid w:val="008E5693"/>
    <w:rsid w:val="009059B2"/>
    <w:rsid w:val="00910A12"/>
    <w:rsid w:val="009316E9"/>
    <w:rsid w:val="00953A2A"/>
    <w:rsid w:val="00960167"/>
    <w:rsid w:val="009661BF"/>
    <w:rsid w:val="00981036"/>
    <w:rsid w:val="009B6EA4"/>
    <w:rsid w:val="009C26B3"/>
    <w:rsid w:val="009C2D09"/>
    <w:rsid w:val="009C687D"/>
    <w:rsid w:val="00A83AB1"/>
    <w:rsid w:val="00AA12B5"/>
    <w:rsid w:val="00AD4DE8"/>
    <w:rsid w:val="00B01E69"/>
    <w:rsid w:val="00B20639"/>
    <w:rsid w:val="00B409F2"/>
    <w:rsid w:val="00B45164"/>
    <w:rsid w:val="00BB11B3"/>
    <w:rsid w:val="00BD4B9D"/>
    <w:rsid w:val="00BF75FD"/>
    <w:rsid w:val="00C42C95"/>
    <w:rsid w:val="00C553AD"/>
    <w:rsid w:val="00C57492"/>
    <w:rsid w:val="00C762D4"/>
    <w:rsid w:val="00C87DB2"/>
    <w:rsid w:val="00C9390F"/>
    <w:rsid w:val="00CB6149"/>
    <w:rsid w:val="00CD5A1C"/>
    <w:rsid w:val="00D00B06"/>
    <w:rsid w:val="00D04D0E"/>
    <w:rsid w:val="00D11E76"/>
    <w:rsid w:val="00D20E72"/>
    <w:rsid w:val="00D333BF"/>
    <w:rsid w:val="00D6684B"/>
    <w:rsid w:val="00D900DB"/>
    <w:rsid w:val="00DA5FCE"/>
    <w:rsid w:val="00DB022A"/>
    <w:rsid w:val="00DC2E7C"/>
    <w:rsid w:val="00DE0015"/>
    <w:rsid w:val="00DE6161"/>
    <w:rsid w:val="00DF0C58"/>
    <w:rsid w:val="00DF1D36"/>
    <w:rsid w:val="00E314E9"/>
    <w:rsid w:val="00E3657E"/>
    <w:rsid w:val="00E44990"/>
    <w:rsid w:val="00E5451A"/>
    <w:rsid w:val="00E57C1E"/>
    <w:rsid w:val="00E972B6"/>
    <w:rsid w:val="00EA0F77"/>
    <w:rsid w:val="00EA38CC"/>
    <w:rsid w:val="00ED48EA"/>
    <w:rsid w:val="00EE78AC"/>
    <w:rsid w:val="00EF24D0"/>
    <w:rsid w:val="00EF38D1"/>
    <w:rsid w:val="00EF6603"/>
    <w:rsid w:val="00F03DA6"/>
    <w:rsid w:val="00F21783"/>
    <w:rsid w:val="00F26416"/>
    <w:rsid w:val="00F43D2C"/>
    <w:rsid w:val="00F73D4D"/>
    <w:rsid w:val="00F75A6C"/>
    <w:rsid w:val="00F81B8B"/>
    <w:rsid w:val="00F87B90"/>
    <w:rsid w:val="00F96B60"/>
    <w:rsid w:val="00FA288A"/>
    <w:rsid w:val="00FA4CC8"/>
    <w:rsid w:val="00FA6081"/>
    <w:rsid w:val="00FB540D"/>
    <w:rsid w:val="00FD1617"/>
    <w:rsid w:val="00FD49D5"/>
    <w:rsid w:val="029974F3"/>
    <w:rsid w:val="04D449ED"/>
    <w:rsid w:val="0633752E"/>
    <w:rsid w:val="083C2819"/>
    <w:rsid w:val="0864281E"/>
    <w:rsid w:val="0C0A1AE2"/>
    <w:rsid w:val="0CA37841"/>
    <w:rsid w:val="138A5CB9"/>
    <w:rsid w:val="15F978BA"/>
    <w:rsid w:val="16A86429"/>
    <w:rsid w:val="18003D99"/>
    <w:rsid w:val="1B70425F"/>
    <w:rsid w:val="1DE75A04"/>
    <w:rsid w:val="1F8162DA"/>
    <w:rsid w:val="211E75CA"/>
    <w:rsid w:val="233E429B"/>
    <w:rsid w:val="23745734"/>
    <w:rsid w:val="240E727D"/>
    <w:rsid w:val="24C04FDC"/>
    <w:rsid w:val="25225CCC"/>
    <w:rsid w:val="28643ED1"/>
    <w:rsid w:val="2B5100EC"/>
    <w:rsid w:val="2BFC4AB7"/>
    <w:rsid w:val="2EAC0116"/>
    <w:rsid w:val="2ECE5E9F"/>
    <w:rsid w:val="2F9037FD"/>
    <w:rsid w:val="2F9F5FE5"/>
    <w:rsid w:val="327074CC"/>
    <w:rsid w:val="33442AA5"/>
    <w:rsid w:val="33770F5C"/>
    <w:rsid w:val="33A930DF"/>
    <w:rsid w:val="35910895"/>
    <w:rsid w:val="36D07734"/>
    <w:rsid w:val="37312BEE"/>
    <w:rsid w:val="382258B9"/>
    <w:rsid w:val="38417D8A"/>
    <w:rsid w:val="3905700A"/>
    <w:rsid w:val="39B97FE7"/>
    <w:rsid w:val="3B0C6B1A"/>
    <w:rsid w:val="3E6429E8"/>
    <w:rsid w:val="415974FC"/>
    <w:rsid w:val="43511A1E"/>
    <w:rsid w:val="455A1B64"/>
    <w:rsid w:val="46BB2339"/>
    <w:rsid w:val="48782A0B"/>
    <w:rsid w:val="49646585"/>
    <w:rsid w:val="49741751"/>
    <w:rsid w:val="4AB2136C"/>
    <w:rsid w:val="4B17761A"/>
    <w:rsid w:val="4B6819F9"/>
    <w:rsid w:val="4BB65E7E"/>
    <w:rsid w:val="4DEB281B"/>
    <w:rsid w:val="4E1A4EAE"/>
    <w:rsid w:val="4E643148"/>
    <w:rsid w:val="4F2D3225"/>
    <w:rsid w:val="4F6818CD"/>
    <w:rsid w:val="501F6CD2"/>
    <w:rsid w:val="54053189"/>
    <w:rsid w:val="58FB7CE7"/>
    <w:rsid w:val="59300CC2"/>
    <w:rsid w:val="596C2A61"/>
    <w:rsid w:val="59BE107D"/>
    <w:rsid w:val="5AC52F17"/>
    <w:rsid w:val="5B12593B"/>
    <w:rsid w:val="5CEB249E"/>
    <w:rsid w:val="5E6463FD"/>
    <w:rsid w:val="5E8A398A"/>
    <w:rsid w:val="5FB94527"/>
    <w:rsid w:val="60111A06"/>
    <w:rsid w:val="60327E35"/>
    <w:rsid w:val="62171FDF"/>
    <w:rsid w:val="62517C52"/>
    <w:rsid w:val="642A59F3"/>
    <w:rsid w:val="666400CF"/>
    <w:rsid w:val="68653AE3"/>
    <w:rsid w:val="68F863C9"/>
    <w:rsid w:val="6AD30E33"/>
    <w:rsid w:val="6B7F2EAB"/>
    <w:rsid w:val="6C625342"/>
    <w:rsid w:val="6D7E7302"/>
    <w:rsid w:val="6F5A2B88"/>
    <w:rsid w:val="73734595"/>
    <w:rsid w:val="74275AAB"/>
    <w:rsid w:val="74DA4CFB"/>
    <w:rsid w:val="757567DA"/>
    <w:rsid w:val="75913BF6"/>
    <w:rsid w:val="75DE663D"/>
    <w:rsid w:val="768F38B1"/>
    <w:rsid w:val="77D71A94"/>
    <w:rsid w:val="78572B01"/>
    <w:rsid w:val="786170B2"/>
    <w:rsid w:val="7C8665CC"/>
    <w:rsid w:val="7F062125"/>
    <w:rsid w:val="7F7D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qFormat="1" w:unhideWhenUsed="0" w:uiPriority="0" w:semiHidden="0" w:name="index 6"/>
    <w:lsdException w:qFormat="1" w:unhideWhenUsed="0" w:uiPriority="0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iPriority="99" w:semiHidden="0" w:name="Body Text First Indent 2"/>
    <w:lsdException w:uiPriority="99" w:name="Note Heading"/>
    <w:lsdException w:qFormat="1" w:uiPriority="99" w:semiHidden="0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0" w:semiHidden="0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4">
    <w:name w:val="Default Paragraph Font"/>
    <w:unhideWhenUsed/>
    <w:qFormat/>
    <w:uiPriority w:val="1"/>
  </w:style>
  <w:style w:type="table" w:default="1" w:styleId="1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/>
      <w:ind w:left="1440" w:right="1440"/>
    </w:pPr>
    <w:rPr>
      <w:rFonts w:ascii="等线" w:hAnsi="等线" w:eastAsia="等线" w:cs="等线"/>
      <w:color w:val="000000"/>
    </w:rPr>
  </w:style>
  <w:style w:type="paragraph" w:styleId="4">
    <w:name w:val="index 6"/>
    <w:basedOn w:val="1"/>
    <w:next w:val="1"/>
    <w:qFormat/>
    <w:uiPriority w:val="0"/>
    <w:pPr>
      <w:ind w:left="2100"/>
    </w:pPr>
  </w:style>
  <w:style w:type="paragraph" w:styleId="5">
    <w:name w:val="Body Text"/>
    <w:basedOn w:val="1"/>
    <w:next w:val="6"/>
    <w:qFormat/>
    <w:uiPriority w:val="0"/>
    <w:pPr>
      <w:spacing w:after="120"/>
    </w:pPr>
    <w:rPr>
      <w:rFonts w:ascii="Calibri" w:hAnsi="Calibri"/>
      <w:szCs w:val="22"/>
    </w:rPr>
  </w:style>
  <w:style w:type="paragraph" w:styleId="6">
    <w:name w:val="index 7"/>
    <w:basedOn w:val="1"/>
    <w:next w:val="1"/>
    <w:semiHidden/>
    <w:qFormat/>
    <w:uiPriority w:val="0"/>
    <w:pPr>
      <w:ind w:left="1200" w:leftChars="1200"/>
    </w:pPr>
  </w:style>
  <w:style w:type="paragraph" w:styleId="7">
    <w:name w:val="Body Text Indent"/>
    <w:basedOn w:val="1"/>
    <w:unhideWhenUsed/>
    <w:qFormat/>
    <w:uiPriority w:val="99"/>
    <w:pPr>
      <w:spacing w:after="120" w:afterLines="0" w:afterAutospacing="0"/>
      <w:ind w:left="420" w:leftChars="200"/>
    </w:pPr>
  </w:style>
  <w:style w:type="paragraph" w:styleId="8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2"/>
    <w:basedOn w:val="1"/>
    <w:unhideWhenUsed/>
    <w:qFormat/>
    <w:uiPriority w:val="99"/>
    <w:pPr>
      <w:spacing w:before="60" w:after="60"/>
    </w:pPr>
    <w:rPr>
      <w:rFonts w:ascii="Arial" w:hAnsi="Arial" w:eastAsia="仿宋_GB2312"/>
      <w:spacing w:val="-5"/>
      <w:szCs w:val="20"/>
      <w:lang w:val="zh-CN" w:eastAsia="en-US"/>
    </w:rPr>
  </w:style>
  <w:style w:type="paragraph" w:styleId="11">
    <w:name w:val="Body Text First Indent"/>
    <w:basedOn w:val="5"/>
    <w:next w:val="12"/>
    <w:qFormat/>
    <w:uiPriority w:val="0"/>
    <w:pPr>
      <w:autoSpaceDE w:val="0"/>
      <w:autoSpaceDN w:val="0"/>
      <w:spacing w:line="360" w:lineRule="auto"/>
      <w:ind w:firstLine="100" w:firstLineChars="100"/>
    </w:pPr>
  </w:style>
  <w:style w:type="paragraph" w:styleId="12">
    <w:name w:val="Body Text First Indent 2"/>
    <w:basedOn w:val="7"/>
    <w:unhideWhenUsed/>
    <w:qFormat/>
    <w:uiPriority w:val="99"/>
    <w:pPr>
      <w:ind w:firstLine="420" w:firstLineChars="200"/>
    </w:pPr>
  </w:style>
  <w:style w:type="character" w:styleId="15">
    <w:name w:val="Strong"/>
    <w:qFormat/>
    <w:uiPriority w:val="0"/>
    <w:rPr>
      <w:b/>
    </w:rPr>
  </w:style>
  <w:style w:type="character" w:styleId="16">
    <w:name w:val="page number"/>
    <w:basedOn w:val="14"/>
    <w:qFormat/>
    <w:uiPriority w:val="0"/>
  </w:style>
  <w:style w:type="character" w:customStyle="1" w:styleId="17">
    <w:name w:val="页眉 字符"/>
    <w:basedOn w:val="14"/>
    <w:link w:val="9"/>
    <w:qFormat/>
    <w:uiPriority w:val="99"/>
    <w:rPr>
      <w:sz w:val="18"/>
      <w:szCs w:val="18"/>
    </w:rPr>
  </w:style>
  <w:style w:type="character" w:customStyle="1" w:styleId="18">
    <w:name w:val="页脚 字符"/>
    <w:basedOn w:val="14"/>
    <w:link w:val="8"/>
    <w:qFormat/>
    <w:uiPriority w:val="99"/>
    <w:rPr>
      <w:sz w:val="18"/>
      <w:szCs w:val="18"/>
    </w:rPr>
  </w:style>
  <w:style w:type="character" w:customStyle="1" w:styleId="19">
    <w:name w:val="标题 1 字符"/>
    <w:basedOn w:val="14"/>
    <w:link w:val="3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customStyle="1" w:styleId="20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paragraph" w:customStyle="1" w:styleId="21">
    <w:name w:val="Default"/>
    <w:qFormat/>
    <w:uiPriority w:val="0"/>
    <w:pPr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customStyle="1" w:styleId="22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1968</Words>
  <Characters>2059</Characters>
  <Lines>16</Lines>
  <Paragraphs>4</Paragraphs>
  <TotalTime>16</TotalTime>
  <ScaleCrop>false</ScaleCrop>
  <LinksUpToDate>false</LinksUpToDate>
  <CharactersWithSpaces>2065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2021-03-14T02:00:00Z</dcterms:created>
  <dc:creator>徐海涛</dc:creator>
  <cp:lastModifiedBy>Queenie</cp:lastModifiedBy>
  <cp:lastPrinted>2023-04-12T10:53:00Z</cp:lastPrinted>
  <dcterms:modified xsi:type="dcterms:W3CDTF">2023-04-14T07:05:30Z</dcterms:modified>
  <cp:revision>144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KSOSaveFontToCloudKey">
    <vt:lpwstr>358907225_btnclosed</vt:lpwstr>
  </property>
  <property fmtid="{D5CDD505-2E9C-101B-9397-08002B2CF9AE}" pid="4" name="ICV">
    <vt:lpwstr>7935B86637264D1D99DC6C8B65430288</vt:lpwstr>
  </property>
</Properties>
</file>